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23. aprīlī (prot. Nr. 17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 jūnija noteikumos Nr. 265 "Valsts atbalsta piešķiršanas kārtība meža nozares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 jūnija noteikumos Nr. 265 "Valsts atbalsta piešķiršanas kārtība meža nozares attīstībai" (Latvijas Vēstnesis, 2023, 107.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atbalsta kopējais apmērs 2024. gadā ir 1 337 927 </w:t>
      </w:r>
      <w:r w:rsidR="00000000" w:rsidRPr="00000000" w:rsidDel="00000000">
        <w:rPr>
          <w:i w:val="1"/>
          <w:rtl w:val="0"/>
        </w:rPr>
        <w:t xml:space="preserve">euro</w:t>
      </w:r>
      <w:r w:rsidR="00000000" w:rsidRPr="00000000" w:rsidDel="00000000">
        <w:rPr>
          <w:rtl w:val="0"/>
        </w:rPr>
        <w:t xml:space="preserve">, un to piešķir no Zemkopības ministrijas budžeta programmas 24.00.00 "Meža resursu ilgtspējības saglabāšana" apakšprogrammā 24.02.00 "Valsts atbalsta pasākumi meža nozarē" Meža attīstības fondam (turpmāk – fonds) paredzētajiem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Valsts atbalsts tiek piešķirts: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šādiem meža nozares atbalsta un attīstības, sabiedrības informēšanas un izglītošanas projektiem (turpmāk – attīstības projekti):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 pasākumam "Meža dienas 2024", ko īsteno biedrība "Latvijas Pašvaldību savienība", – 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5.1.2. meža nozares gada balvas "Zelta čiekurs" pasniegšanas informatīvajam un tehniskajam nodrošinājumam – 48 000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5.1.3. balvu fondam meža nozares gada balvas "Zelta čiekurs" laureātiem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5.1.4. skolu jaunatnes izglītošanas pasākumam "Konkurss "Mežs Latvijas izaugsmei""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 Eiropas Savienības iniciatīvas "Trīs miljardi koku" atbalsta projekta īstenošanas priekšizpētei un sagatavošanai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5.1.6. informatīvā materiāla (platformas) "Meža nozare skaitļos un faktos" aktualizēšanai  un drukāta materiāla izstrādei un izdošanai – 8000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5.1.7. meža nozares gada balvu izgatavošanai – 11 000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5.1.8. Starptautiskās meža pētniecības organizāciju apvienības (</w:t>
      </w:r>
      <w:r w:rsidR="00000000" w:rsidRPr="00000000" w:rsidDel="00000000">
        <w:rPr>
          <w:i w:val="1"/>
          <w:rtl w:val="0"/>
        </w:rPr>
        <w:t xml:space="preserve">International union of forest research organizations – IUFRO</w:t>
      </w:r>
      <w:r w:rsidR="00000000" w:rsidRPr="00000000" w:rsidDel="00000000">
        <w:rPr>
          <w:rtl w:val="0"/>
        </w:rPr>
        <w:t xml:space="preserve">) 2024. gada Pasaules kongresa organizēšanai, ko īsteno Latvijas Valsts mežzinātnes institūts "Silava", – 36 000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5.1.9. pasākumam "Mežs ienāk Jelgavā", ko īsteno Latvijas Biozinātņu un tehnoloģiju universitātes Meža un vides fakultāte, – 20 000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5.1.10. sabiedrības attieksmes pētījumam par valsts meža attīstības programmas galvenajiem vēstījumiem 2024. gadā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šādiem meža nozares prioritārās jomas zinātniskās izpētes projektiem (turpmāk – izpētes projekti) saskaņā ar Komisijas 2022. gada 14. decembra Regulu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 priekšlikumu izstrādei Nacionālā meža monitoringa pilnveidei, ietverot meža bioloģiskās daudzveidības monitoringa un Otrā līmeņa gaisa piesārņojuma ietekmes monitoringa komponentus, kā arī konsultatīvi zinātniskajam atbalstam Latvijas pozīciju sagatavošanai par Eiropas Parlamenta un Padomes regulas projektu par Eiropas mežu noturību veicinoša monitoringa satvaru (izpilda Latvijas Valsts mežzinātnes institūts "Silava")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privāto mežu apsaimniekošanas un meža īpašumu konsolidācijas un kooperācijas procesa monitoringam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5.2.3. meža nekoksnes produktu un pakalpojumu izvērtējumam, tostarp par tā devumu Latvijas tautsaimniecībā 2024. gadā, –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5.2.4. Eiropas Pētniecības telpas tīkla (</w:t>
      </w:r>
      <w:r w:rsidR="00000000" w:rsidRPr="00000000" w:rsidDel="00000000">
        <w:rPr>
          <w:i w:val="1"/>
          <w:rtl w:val="0"/>
        </w:rPr>
        <w:t xml:space="preserve">ERA-NET ForestValue)</w:t>
      </w:r>
      <w:r w:rsidR="00000000" w:rsidRPr="00000000" w:rsidDel="00000000">
        <w:rPr>
          <w:rtl w:val="0"/>
        </w:rPr>
        <w:t xml:space="preserve"> pētījuma "Koki un meži nākotnē: meža selekcijas un mežkopības kompromisu un iespēju novērtējums ilgtspējības mērķu sasniegšanai" (angļu val. – </w:t>
      </w:r>
      <w:r w:rsidR="00000000" w:rsidRPr="00000000" w:rsidDel="00000000">
        <w:rPr>
          <w:i w:val="1"/>
          <w:rtl w:val="0"/>
        </w:rPr>
        <w:t xml:space="preserve">Seeing trees and forests for the future: assessment of trade-offs and potentials to breed and manage forests to meet sustainability goals</w:t>
      </w:r>
      <w:r w:rsidR="00000000" w:rsidRPr="00000000" w:rsidDel="00000000">
        <w:rPr>
          <w:rtl w:val="0"/>
        </w:rPr>
        <w:t xml:space="preserve">) īstenošanai ar sadarbības partneriem no četrām valstīm – Somijas, Zviedrijas, Norvēģijas un Latvijas (</w:t>
      </w:r>
      <w:r w:rsidR="00000000" w:rsidRPr="00000000" w:rsidDel="00000000">
        <w:rPr>
          <w:i w:val="1"/>
          <w:rtl w:val="0"/>
        </w:rPr>
        <w:t xml:space="preserve">Assess4EST</w:t>
      </w:r>
      <w:r w:rsidR="00000000" w:rsidRPr="00000000" w:rsidDel="00000000">
        <w:rPr>
          <w:rtl w:val="0"/>
        </w:rPr>
        <w:t xml:space="preserve">) (izpilda Latvijas Valsts mežzinātnes institūts "Silava") – 43 000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5.2.5. "Informācijas nodrošinājums par vēsturisko meža segumu, mežaudžu struktūru un saimniecisko darbību" (īsteno Latvijas Valsts mežzinātnes institūts "Silava")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5.2.6. atbilstoši Latvijas apstākļiem dabai tuvas mežsaimniecības vadlīniju izstrādei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5.2.7. atbalstam meža nozares stratēģiskā dokumenta izstrādei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5.2.8. priekšlikumu sagatavošanai par meža ekosistēmu bioloģiskās daudzveidības uzlabošanu, izmantojot regulas par dabas atjaunošanu projektā ietvertos rādītājus: parasto meža putnu populāciju indeksu, atmirušās koksnes apjomu, nevienmērīgas vecumstruktūras mežu īpatsvaru, meža savienojamību, organiskā oglekļa uzkrājumu, to mežu īpatsvaru, kuros dominē autohtonas koku sugas, un koku sugu daudzveidību,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5.2.9. vadlīniju sagatavošanai par degvielas uzskaites sistēmas izstrādi mežsaimniecības sektorā – 12 000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5.2.10. "Koksnes plātņu produktu ražošanas dinamika Latvijā pēdējo piecu gadu laikā un prognozes" – 20 000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5.2.11. "Egļu astoņzobu mizgrauža masveida savairošanās situācijas ietekme uz meža apsaimniekošanu un koksnes resursu ieguvi Latvijā" – 60 000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5.2.12. Vidzemes augstskolas dalībai starpvalstu projektā "Ti-ReX" – "Ietvars reģenerēto kokmateriālu pārdomātai stāvokļa novērtēšanai, lai pagarinātu ilgdzīvojošu koksnes izstrādājumu kalpošanas laiku, izmantojot nesagraujošu testēšanu un automatizētu datu pēcapstrādi" (angļu val. – </w:t>
      </w:r>
      <w:r w:rsidR="00000000" w:rsidRPr="00000000" w:rsidDel="00000000">
        <w:rPr>
          <w:i w:val="1"/>
          <w:rtl w:val="0"/>
        </w:rPr>
        <w:t xml:space="preserve">Framework for smart condition reassessment of Reclaimed Timber to eXtend the service life of long-lived wood products using non-destructive testing and automated data postprocessing</w:t>
      </w:r>
      <w:r w:rsidR="00000000" w:rsidRPr="00000000" w:rsidDel="00000000">
        <w:rPr>
          <w:rtl w:val="0"/>
        </w:rPr>
        <w:t xml:space="preserve">) sadarbībā ar Spānijas, Somijas, Polijas, Norvēģijas un Slovēnijas zinātniekiem –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Lai īstenotu šo noteikumu 5.1. un 5.2. apakšpunktā minētos projektus, izņemot 5.1.1., 5.1.3., 5.1.8., 5.1.9., 5.2.1., 5.2.4., 5.2.5. un 5.2.12. apakšpunktā minētos projektus, Zemkopības ministrija izsludina konkursu oficiālajā izdevumā "Latvijas Vēstnesis", nosakot vismaz 10 darbdienu ilgu projekta iesniegšanas termiņu, un informāciju par projekta mērķiem un darba uzdevumiem ievieto Zemkopības ministrijas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Šo noteikumu 5.1.1., 5.1.8., 5.1.9., 5.2.1., 5.2.4., 5.2.5. un 5.2.12. apakšpunktā minēto projektu darba uzdevumus Meža attīstības fonda sekretariāts (turpmāk – sekretariāts) nosūta valsts atbalsta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Valsts atbalsta saņēmējs projekta pieteikumu par šo noteikumu 5.1.1., 5.1.8., 5.1.9., 5.2.1., 5.2.4., 5.2.5. un 5.2.12. apakšpunktā minētajiem projektiem iesniedz Lauku atbalsta dienesta (turpmāk – dienests) elektroniskās pieteikšanās sistēmā 14 dienu laikā no projektu darba uzdevumu saņemšanas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Avansa maksājums ir 50 procentu no projekta valsts atbalsta summas, un tas, pamatojot nepieciešamību, ar padomes lēmumu var tikt mainīts. Šo noteikumu 5. punktā minētajiem projektiem maksājumus izmaksā divās daļās – avansa maksājumu 50 procentu apmērā, projektu uzsākot, un atlikušo maksājumu 50 procentu apmērā – pēc projekta starppārskata (4. pielikums) un – ja nepieciešama iepirkuma procedūra – iepirkuma dokumentu iesniegšanas un to izvērtēšanas. Starppārskats un iepirkuma dokumenti iesniedzami dienesta elektroniskajā pieteikšanās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Projekta pārskats un maksājumu pieprasījums, kā arī kopsavilkums un konta pārskata izraksts iesniedzams dienesta elektroniskajā pieteikšanās sistēmā līdz kārtējā gada 30.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18.3.2.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 sabiedrības un meža īpašnieku informēšanai un izglītošanai plašsaziņas līdzekļos (172 927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Projekta pārskats un maksājuma pieprasījums, kā arī kopsavilkums un konta pārskata izraksts iesniedzams dienesta elektroniskajā pieteikšanās sistēmā 15 dienu laikā pēc projekta īstenošanas, bet ne vēlāk kā līdz kārtējā gada 30.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Pēc projekta īstenošanas dienests informē padomi par pārskatu atbilstību projekta pieteikumam un kopsavilkumu, kā arī par konta pārskatā minēto maksājumu atbilstību projekta uzdevumiem."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"47.1. pārskatu par projekta īstenošanu (4. pielikums) un projekta rezultātus, piemēram, grāmatas, citus izstrādājumus, saites uz publikācijām, sižetiem vai raidierakstiem, maketus, preses izdevumu eksemplārus;".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 kopsavilkumu par šo noteikumu 50.1. apakšpunktā minētajām izmaksām, norādot projekta izmaksas pamatojošo dokumentu datumus, numurus, izmaksu summas un informāciju par darījumu;".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"47.3. konta pārskata izrakstu par šo noteikumu 50.1. apakšpunktā minētajām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47.4.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Dienests izvērtē valsts atbalsta saņēmēja iesniegtos dokumentus. Dienests ir tiesīgs pieprasīt no izlases kārtībā izraudzītiem valsts atbalsta saņēmējiem atbalstītā projekta īstenošanu apliecinošus dokumentus, ar pakalpojumu sniedzējiem noslēgtos līgumus un darbu nodošanas un pieņemšanas aktus."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izmaksas, kuras ir saistītas ar projekta īstenošanu, nepieciešamas projekta mērķu sasniegšanai un pamatotas ar attaisnojošiem dokumentiem un par kurām valsts atbalsta saņēmējs uzglabā darījumu un samaksu apliecinošus dokumentus atbilstoši Grāmatvedības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administratīvās izmaksas, kas tieši saistītas ar projekta vadību un koordināciju un noteiktas kā vienota likme 15 procentu apmērā no šo noteikumu 50.1. apakšpunktā minētajām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projektā paredzētajām iegādēm, ja tās ir lielākas par 1001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Valsts atbalsta saņēmējs starppārskatu (4. pielikums) elektroniskajā pieteikšanās sistēmā iesniedz līdz kārtējā gada 31. augustam un tajā norāda informāciju par jau īstenotajiem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Dienests informē sekretariātu par valsts atbalsta saņēmēja iesniegto starppārskatu (4. pielikums).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valsts atbalsta saņēmējs laikus neiesniedz iepirkuma dokumentus vai starppārskatu (4. pielikums), dienests informē padomes sekretariātu."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Ja šo noteikumu 5. vai 18. punktā minēto finansējumu neizlieto pilnā apmērā, padome, kas rīkojas saskaņā ar normatīvajos aktos noteikto Meža attīstības fonda pārvaldības kārtību, lemj par finansējuma pārdali un, ja nepieciešams, atkārtota konkursa izsludināšanu."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66.2.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"66.2. pēc izpētes projekta un šo noteikumu 5.2. un 18.2. apakšpunktā minētā konkursa projekta īstenošanas līdz nākamā gada 1. februārim izpētes projektu ievieto Latvijas Biozinātņu un tehnoloģiju universitātes uzturētā zinātnisko pētījumu datubāzē, Valsts kancelejas Pētījumu un publikāciju datubāzē, kā arī publicē savā tīmekļvietnē un nodrošina projekta rezultātu pieejamību bez maksas piecus gadus no to publicēšanas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"66.4. vismaz divas nedēļas pirms projektā plānotajiem informatīvajiem pasākumiem, piemēram, semināriem, nometnēm un raidījumiem, par tiem informē sekretariātu un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24-TA-86</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24-TA-86</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noteikumu_(grozījumu)_projekts_24-TA-86.docx</dc:title>
</cp:coreProperties>
</file>

<file path=docProps/custom.xml><?xml version="1.0" encoding="utf-8"?>
<Properties xmlns="http://schemas.openxmlformats.org/officeDocument/2006/custom-properties" xmlns:vt="http://schemas.openxmlformats.org/officeDocument/2006/docPropsVTypes"/>
</file>