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19. augustā (prot. Nr. 32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finansējuma piešķiršanu militāri patriotiskajām organizācijām kopprojektu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īstenotu militāri patriotisko organizāciju kopprojektus šo organizāciju sadarbības stiprināšanai un jaunu pieeju izstrādei patriotiskajā audzināšanā, kā arī lai izglītotu sabiedrību, īpaši jauniešus, par būtiskiem aizsardzības nozares jautājumiem un veicinātu izpratni par katra indivīda lomu un atbildību valsts aizsardzībā, pamatojoties uz likuma "Par valsts budžetu 2025. gadam un budžeta ietvaru 2025., 2026. un 2027. gadam" 48. pantu, Aizsardzības ministrijai atbilstoši aizsardzības nozares prioritātēm piešķirt finansējumu šādām biedrībām: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biedrībai "Latviešu strēlnieku apvienība", biedrībai "Latviešu virsnieku apvienība" un biedrībai "Latviešu nacionālo karavīru biedrība" kopprojekta "Latviešu strēlnieku bataljonu dibināšanas 110. gadadiena "Pulcēsimies zem latviešu karogiem"" īstenošanai – 3468 </w:t>
      </w:r>
      <w:r w:rsidR="00000000" w:rsidRPr="00000000" w:rsidDel="00000000">
        <w:rPr>
          <w:i w:val="1"/>
          <w:rtl w:val="0"/>
        </w:rPr>
        <w:t xml:space="preserve">euro </w:t>
      </w:r>
      <w:r w:rsidR="00000000" w:rsidRPr="00000000" w:rsidDel="00000000">
        <w:rPr>
          <w:rtl w:val="0"/>
        </w:rPr>
        <w:t xml:space="preserve">(kopā);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biedrībai "Latviešu karavīru piemiņas biedrība "Lestene"", biedrībai "Latviešu virsnieku apvienība" un biedrībai "Latviešu nacionālo karavīru biedrība" kopprojekta "Skolas telpas iekārtošana Lestenes muzejā" īstenošanai – 7941 </w:t>
      </w:r>
      <w:r w:rsidR="00000000" w:rsidRPr="00000000" w:rsidDel="00000000">
        <w:rPr>
          <w:i w:val="1"/>
          <w:rtl w:val="0"/>
        </w:rPr>
        <w:t xml:space="preserve">euro </w:t>
      </w:r>
      <w:r w:rsidR="00000000" w:rsidRPr="00000000" w:rsidDel="00000000">
        <w:rPr>
          <w:rtl w:val="0"/>
        </w:rPr>
        <w:t xml:space="preserve">(kopā).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ministrijai noslēgt vienošanos ar šā rīkojuma 1. punktā minētajām biedrībām par finansējuma piešķiršanu šā rīkojuma 1. punktā minēto kopprojektu īstenošanai, paredzot līdzekļu izlietojuma kontroli un nosakot, ka šā rīkojuma 1. punktā minētās biedrības ir atbildīgas par grāmatvedības datu pareizību un finanšu līdzekļu izlietojumu atbilstoši plānotajam.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25-TA-1560</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25-TA-1560</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rīkojuma_projekts_25-TA-1560.docx</dc:title>
</cp:coreProperties>
</file>

<file path=docProps/custom.xml><?xml version="1.0" encoding="utf-8"?>
<Properties xmlns="http://schemas.openxmlformats.org/officeDocument/2006/custom-properties" xmlns:vt="http://schemas.openxmlformats.org/officeDocument/2006/docPropsVTypes"/>
</file>