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15. jūnija noteikumos Nr. 384 "Būvju tehniskās apsekošanas būvnormatīvs LBN 405-21"</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pirmās daļas 3. un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15. jūnija noteikumos Nr. 384 "Būvju tehniskās apsekošanas būvnormatīvs LBN 405-21" (Latvijas Vēstnesis, 2021, 122. nr.; 2026, 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9.1.3.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 ne retāk kā reizi 10 gados vēja elektrostacijām, torņiem un mastiem, kuru augstums pārsniedz 60 metrus;".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6</w:t>
      </w:r>
      <w:r w:rsidR="00000000" w:rsidRPr="00000000" w:rsidDel="00000000">
        <w:rPr>
          <w:rtl w:val="0"/>
        </w:rPr>
        <w:t xml:space="preserve"> Šo noteikumu 9.1.3. apakšpunktā minētai inženierbūvei, kura nodota ekspluatācijā pirms 2017. gada 1. janvāra un kurai pēdējo 10 gadu laikā nav veikta tehniskā apsekošana, periodisko tehnisko apsekošanu veic līdz 2028.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26-TA-1173</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26-TA-1173</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noteikumu_(grozījumu)_projekts_26-TA-1173.docx</dc:title>
</cp:coreProperties>
</file>

<file path=docProps/custom.xml><?xml version="1.0" encoding="utf-8"?>
<Properties xmlns="http://schemas.openxmlformats.org/officeDocument/2006/custom-properties" xmlns:vt="http://schemas.openxmlformats.org/officeDocument/2006/docPropsVTypes"/>
</file>