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pastāvīgās infrastruktūras uz valsts ārējās sauszemes robežas izbūves progresu"</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kancelejai sagatavot informatīvo ziņojumu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sniegto informāciju par valsts ārējās sauszemes robežas apsardzības infrastruktūras izbūves progresu, tajā skaitā par pārskata perioda (iepriekšējo sešu mēnešu) meteoroloģisko apstākļu ietekmi uz izbūves progresu, kā rezultātā Ministru kabineta 2024. gada 6. februāra sēdē dotā uzdevuma (prot. Nr. 6, 1. §, 6. punkts, </w:t>
      </w:r>
      <w:r w:rsidR="00000000" w:rsidRPr="00000000" w:rsidDel="00000000">
        <w:rPr>
          <w:i w:val="1"/>
          <w:rtl w:val="0"/>
        </w:rPr>
        <w:t xml:space="preserve">“papildu žoga izbūvi uz Latvijas Republikas – Krievijas Federācijas ārējās sauszemes robežas 1. un 3. darbu daļā mitrajās un purvainajās zonās aptuveni 28,35 km garumā nodrošināt ne vēlāk kā līdz 2025. gada 25. oktobrim”</w:t>
      </w:r>
      <w:r w:rsidR="00000000" w:rsidRPr="00000000" w:rsidDel="00000000">
        <w:rPr>
          <w:rtl w:val="0"/>
        </w:rPr>
        <w:t xml:space="preserve">) izpilde tiks nodrošināta līdz 2025. gada 31. decembrim.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informatīvajā ziņojumā sniegtos priekšlikumus finansējuma pārdalei starp pasākumiem (apakšpasākumiem) ārējās sauszemes robežas apsardzības infrastruktūras izbūves nodrošināšanai, novirzot prognozētā finansējuma ietaupījumu būvdarbu 4. kārtā (būvuzraudzības izmaksu pozīcija) 150 000</w:t>
      </w:r>
      <w:r w:rsidR="00000000" w:rsidRPr="00000000" w:rsidDel="00000000">
        <w:rPr>
          <w:i w:val="1"/>
          <w:rtl w:val="0"/>
        </w:rPr>
        <w:t xml:space="preserve"> euro</w:t>
      </w:r>
      <w:r w:rsidR="00000000" w:rsidRPr="00000000" w:rsidDel="00000000">
        <w:rPr>
          <w:rtl w:val="0"/>
        </w:rPr>
        <w:t xml:space="preserve"> apmērā būvdarbu 2. kārtā radušos neparedzēto izmaksu segšanai kalna nogāzes nostiprināšanai (būvdarbu izmaksu pozīcija), kā arī būvdarbu 1. kārtā (no būvdarbu izmaksu pozīcijas uz projektu vadības un būvuzraudzības izmaksu pozīciju) 140 553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finansējuma pārdali (precizēšanu) starp pasākumiem (apakšpasākumiem) tiem piešķirto līdzekļu ietvaros atbilstoši šā protokollēmuma 3. punktā paredzētajam, Nodrošinājuma valsts aģentūrai un valsts akciju sabiedrībai "Valsts nekustamie īpašumi" veikt grozījumus attiecīgajos finansēšanas līgumos atbilstoši šajā informatīvajā ziņojumā paredzētajam.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sniegto informāciju par tehnoloģiskās infrastruktūras rezervācijas izveidei organizēto iepirkumu un tā rezultātu.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tehnoloģiskās infrastruktūras rezervācijas izveidi saistītās izmaksas atbilstoši šajā informatīvajā ziņojumā norādītajam segt Finansiāla atbalsta instrumenta robežu pārvaldībai un vīzu politikai Valsts robežsardzes kā finansējuma saņēmēja īstenotā projekta Nr. VRS/RPVP/2023/3 "Automatizētas robežu uzraudzības infrastruktūra" ietvaros.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25-TA-2637</w:t>
    </w:r>
    <w:r>
      <w:br/>
    </w:r>
    <w:r w:rsidR="00000000" w:rsidRPr="00000000" w:rsidDel="00000000">
      <w:rPr>
        <w:rtl w:val="0"/>
      </w:rPr>
      <w:t xml:space="preserve">Izdrukāts 29.07.2026. 22.51 - 2.0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mk_sēdes_protokollēmuma_projekts_25-TA-2637.docx</dc:title>
</cp:coreProperties>
</file>

<file path=docProps/custom.xml><?xml version="1.0" encoding="utf-8"?>
<Properties xmlns="http://schemas.openxmlformats.org/officeDocument/2006/custom-properties" xmlns:vt="http://schemas.openxmlformats.org/officeDocument/2006/docPropsVTypes"/>
</file>