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503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5. septembrī (prot. Nr. 43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28. augusta noteikumos Nr. 555 "Veselības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br/>
      </w:r>
      <w:r w:rsidR="00000000" w:rsidRPr="00000000" w:rsidDel="00000000">
        <w:rPr>
          <w:rStyle w:val="paragraph"/>
          <w:i w:val="1"/>
          <w:rtl w:val="0"/>
        </w:rPr>
        <w:t xml:space="preserve">5. panta otro un trešo daļu, 6. panta otrās daļas 7. un 14. punktu</w:t>
      </w:r>
      <w:r>
        <w:br/>
      </w:r>
      <w:r w:rsidR="00000000" w:rsidRPr="00000000" w:rsidDel="00000000">
        <w:rPr>
          <w:rStyle w:val="paragraph"/>
          <w:i w:val="1"/>
          <w:rtl w:val="0"/>
        </w:rPr>
        <w:t xml:space="preserve">un ceturto daļu, 7. pantu, 8. panta otro daļu</w:t>
      </w:r>
      <w:r>
        <w:br/>
      </w:r>
      <w:r w:rsidR="00000000" w:rsidRPr="00000000" w:rsidDel="00000000">
        <w:rPr>
          <w:rStyle w:val="paragraph"/>
          <w:i w:val="1"/>
          <w:rtl w:val="0"/>
        </w:rPr>
        <w:t xml:space="preserve">un 10. panta trešo daļu,</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br/>
      </w:r>
      <w:r w:rsidR="00000000" w:rsidRPr="00000000" w:rsidDel="00000000">
        <w:rPr>
          <w:rStyle w:val="paragraph"/>
          <w:i w:val="1"/>
          <w:rtl w:val="0"/>
        </w:rPr>
        <w:t xml:space="preserve">likvidēšanas dalībnieku un Černobiļas atomelektrostacijas</w:t>
      </w:r>
      <w:r>
        <w:br/>
      </w:r>
      <w:r w:rsidR="00000000" w:rsidRPr="00000000" w:rsidDel="00000000">
        <w:rPr>
          <w:rStyle w:val="paragraph"/>
          <w:i w:val="1"/>
          <w:rtl w:val="0"/>
        </w:rPr>
        <w:t xml:space="preserve">avārijas rezultātā cietušo personu sociālās aizsardzības likuma</w:t>
      </w:r>
      <w:r>
        <w:br/>
      </w:r>
      <w:r w:rsidR="00000000" w:rsidRPr="00000000" w:rsidDel="00000000">
        <w:rPr>
          <w:rStyle w:val="paragraph"/>
          <w:i w:val="1"/>
          <w:rtl w:val="0"/>
        </w:rPr>
        <w:t xml:space="preserve">14.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28. augusta noteikumos Nr. 555 "Veselības aprūpes pakalpojumu organizēšanas un samaksas kārtība" (Latvijas Vēstnesis, 2018, 176., 251. nr.; 2019, 63., 96., 254. nr.; 2020, 110B., 134A., 248. nr.; 2021, 83., 105., 123A., 189., 195A., 214., 252A. nr.; 2022, 24., 106., 137., 224. nr.; 2023, 13., 26., 65., 71., 90.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"3.11.2. 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vai SSK-10 diagnozes ar kodu C43, C62, C81–C86.6 gadījumā – hematologs, onkologs ķīmijterapeits vai bērnu hematoonkologs. Prasība par radiologa dalību konsīlija sastāvā neattiecas uz hematologu vai bērnu hematoonkologu konsīliju;".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vai SSK-10 diagnozes ar kodu C43, C62, C81–C86.6 gadījumā – hematologs, onkologs ķīmijterapeits vai bērnu hematoonkologs atbilstoši līgumā ar ārstniecības iestādi noteiktajiem veselības aprūpes pakalpojumu apmaksas nosacījumiem. Prasība par radiologa dalību konsīlija sastāvā neattiecas uz hematologu vai bērnu hematoonkologu konsīliju;".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"56.1. pēc ģimenes ārsta vai speciālista nosūtījuma, izņemot pozitronu emisijas tomogrāfijas ar datortomogrāfiju izmeklējumu, kura saņemšanai nepieciešams ārstu konsīlija lēmums vai SSK-10 diagnozes ar kodu C43, C62, C81–C86.6 gadījumā – hematologa, onkologa ķīmijterapeita vai bērnu hematoonkologa nosūtījums;".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186.4.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"186.4. bērniem ar ēšanas traucējumiem, kuriem pēc izrakstīšanās no stacionārās ārstniecības iestādes saglabājas malnutrīcija."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"280. Laikposmā no 2023. gada 1. septembra līdz 2023. gada 31. decembrim kapitācijas naudas apmērs, tai skaitā samaksa par reģistratora funkcijas veikšanu un telefonisku konsultāciju sniegšanu prakses darba laikā, vienai personai mēnesī ir 3,353868</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 Meņģelsone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23-TA-1792</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23-TA-1792</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noteikumu_(grozījumu)_projekts_23-TA-1792.docx</dc:title>
</cp:coreProperties>
</file>

<file path=docProps/custom.xml><?xml version="1.0" encoding="utf-8"?>
<Properties xmlns="http://schemas.openxmlformats.org/officeDocument/2006/custom-properties" xmlns:vt="http://schemas.openxmlformats.org/officeDocument/2006/docPropsVTypes"/>
</file>