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2019. gada 17.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681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Maksa par valsts uzraudzības un kontroles darbībām kautuvēs, kaušanai paredzēto dzīvnieku novietnēs un medījamo dzīvnieku gaļas pārstrādes uzņēmumos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69"/>
        <w:gridCol w:w="3964"/>
        <w:gridCol w:w="2393"/>
        <w:gridCol w:w="2313"/>
        <w:tblGridChange w:id="0">
          <w:tblGrid>
            <w:gridCol w:w="369"/>
            <w:gridCol w:w="3964"/>
            <w:gridCol w:w="2393"/>
            <w:gridCol w:w="231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Uzraudzības un kontroles darbība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  <w:r w:rsidR="00000000" w:rsidRPr="00000000" w:rsidDel="00000000">
              <w:rPr>
                <w:vertAlign w:val="superscript"/>
                <w:rtl w:val="0"/>
              </w:rPr>
              <w:t xml:space="preserve">1, 2, 3, 4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Maksa par nokauto dzīvnieku kontroli (par dzīvnieku), izņemot šā pielikuma 2. punktā minēto gadījumu: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liellopu gaļa: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pieauguši liellopi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jaunlopi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zirgu dzimtas dzīvnieku gaļa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3,42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cūkgaļa – dzīvnieki ar kautsvaru, kas ir: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25 kg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vienāds vai lielāks par 25 kg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aitas gaļa un kazas gaļa – dzīvnieki ar kautsvaru, kas ir: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12 kg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 kg vai lielāks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mājputnu gaļa: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Gallus ģints</w:t>
            </w:r>
            <w:r w:rsidR="00000000" w:rsidRPr="00000000" w:rsidDel="00000000">
              <w:rPr>
                <w:rtl w:val="0"/>
              </w:rPr>
              <w:t xml:space="preserve"> mājputni un pērļu vistiņas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pīles un zosis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tītari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paipalas un irbes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saimniecībā audzētu trušu gaļa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Maksa par kontroles laiku, ja šā pielikuma 1. punktā vai regulas Nr. </w:t>
            </w:r>
            <w:r w:rsidR="00000000" w:rsidRPr="00000000" w:rsidDel="00000000">
              <w:rPr>
                <w:rtl w:val="0"/>
              </w:rPr>
              <w:t xml:space="preserve">2017/625</w:t>
            </w:r>
            <w:r w:rsidR="00000000" w:rsidRPr="00000000" w:rsidDel="00000000">
              <w:rPr>
                <w:rtl w:val="0"/>
              </w:rPr>
              <w:t xml:space="preserve"> IV pielikuma II nodaļas III daļā noteiktā maksa par dzīvnieku nesedz faktiskās izmaksas (atbilstoši faktiskajam kontroles laikam par darba stundu)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11,77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Maksa par dīkstāvi, ja dīkstāves laiks pārsniedz vienu stundu (atbilstoši faktiskajam laikam par stundu)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11,77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Pievienotās vērtības nodokli nepiemēro saskaņā ar </w:t>
      </w:r>
      <w:r w:rsidR="00000000" w:rsidRPr="00000000" w:rsidDel="00000000">
        <w:rPr>
          <w:rtl w:val="0"/>
        </w:rPr>
        <w:t xml:space="preserve">Pievienotās vērtības nodokļa likuma</w:t>
      </w:r>
      <w:r w:rsidR="00000000" w:rsidRPr="00000000" w:rsidDel="00000000">
        <w:rPr>
          <w:rtl w:val="0"/>
        </w:rPr>
        <w:t xml:space="preserve"> 3. panta astoto daļu.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Maksa ietver trihinelozes diagnostiku kautuves laboratorijā.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 Kontroles izmaksas daļēji tiek segtas normatīvajos aktos par ikgadējo valsts atbalstu lauksaimniecībai un tā piešķiršanas kārtību noteiktajā atbalsta pasākumā "Atbalsts veterinārās ekspertīzes izmaksu daļējai segšanai".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 Aprēķinot izmaksas, papildus noteiktajai maksai aprēķina maksu par darbu ārpus paziņotā darbalaika, svētku dienās un nakts stundās atbilstoši darba tiesiskās attiecības regulējošajos normatīvajos aktos noteiktajam.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25-TA-2530</w:t>
    </w:r>
    <w:r>
      <w:br/>
    </w:r>
    <w:r w:rsidR="00000000" w:rsidRPr="00000000" w:rsidDel="00000000">
      <w:rPr>
        <w:rtl w:val="0"/>
      </w:rPr>
      <w:t xml:space="preserve">Izdrukāts 29.07.2026. 22.50 - 1.0.VK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25-TA-2530</w:t>
    </w:r>
    <w:r>
      <w:br/>
    </w:r>
    <w:r w:rsidR="00000000" w:rsidRPr="00000000" w:rsidDel="00000000">
      <w:rPr>
        <w:rtl w:val="0"/>
      </w:rPr>
      <w:t xml:space="preserve">Izdrukāts 29.07.2026. 22.50 - 1.0.VK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noteikumu_konsolidētā_versija_p6_25-TA-2530.docx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