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Personu apliecinošu dokumentu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Personu apliecinošu dokumentu likumā (Latvijas Vēstnesis, 2012, 18., 84. nr.; 2014, 140. nr.; 2017, 132., 147. nr.; 2019, 101., 253. nr.; 2021, 118.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pārejas noteikumus ar 9.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Ja Latvijas Republikā izsniegtam Latvijas pilsoņa, Latvijas nepilsoņa vai bezvalstnieka personu apliecinošam dokumentam beidzies derīguma termiņš laikposmā no 2020. gada 1. marta, šis personu apliecinošais dokuments joprojām ir izmantojams personas identifikācijas apliecināšanai klātienē Latvijas Republikā līdz 2023. gada 30. aprīlim, ja dokuments nav kļuvis nederīgs citu iemeslu dēļ."</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22-TA-2368</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22-TA-2368</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likumprojekts_(grozījumi)_22-TA-2368.docx</dc:title>
</cp:coreProperties>
</file>

<file path=docProps/custom.xml><?xml version="1.0" encoding="utf-8"?>
<Properties xmlns="http://schemas.openxmlformats.org/officeDocument/2006/custom-properties" xmlns:vt="http://schemas.openxmlformats.org/officeDocument/2006/docPropsVTypes"/>
</file>