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aprīlī (prot. Nr. 15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1 884 680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apakšprogrammu 40.02.00 "Nekustamais īpašums un centralizētais iepirkums", lai ar valsts drošību saistīto prioritāro pasākumu ietvaros turpinātu infrastruktūras izbūvi gar Latvijas Republikas un Baltkrievijas Republikas valsts robežu, nodrošinot rokādes ceļu izbūvi pie Riču ezera.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24-TA-598</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24-TA-598</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rīkojuma_projekts_24-TA-598.docx</dc:title>
</cp:coreProperties>
</file>

<file path=docProps/custom.xml><?xml version="1.0" encoding="utf-8"?>
<Properties xmlns="http://schemas.openxmlformats.org/officeDocument/2006/custom-properties" xmlns:vt="http://schemas.openxmlformats.org/officeDocument/2006/docPropsVTypes"/>
</file>