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159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30. martā (prot. Nr. 16 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Vidus ielā 11–33, Rīgā,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un otro daļu un 5. panta pirmo daļu atļaut sabiedrībai ar ierobežotu atbildību "Publisko aktīvu pārvaldītājs Possessor" pārdot izsolē valsts dzīvokļa īpašumu (nekustamā īpašuma kadastra Nr. 0100 909 3374) – neapdzīvojamo telpu Nr. II (telpu grupas kadastra apzīmējums 0100 011 0152 001 032) 129,9 m</w:t>
      </w:r>
      <w:r w:rsidR="00000000" w:rsidRPr="00000000" w:rsidDel="00000000">
        <w:rPr>
          <w:vertAlign w:val="superscript"/>
          <w:rtl w:val="0"/>
        </w:rPr>
        <w:t xml:space="preserve">2</w:t>
      </w:r>
      <w:r w:rsidR="00000000" w:rsidRPr="00000000" w:rsidDel="00000000">
        <w:rPr>
          <w:rtl w:val="0"/>
        </w:rPr>
        <w:t xml:space="preserve"> platībā un kopīpašuma 1299/35652 domājamās daļas no daudzdzīvokļu dzīvojamās mājas (būves kadastra apzīmējums 0100 011 0152 001) un zemes vienības (zemes vienības kadastra apzīmējums 0100 011 0152) – Vidus ielā 11–33, Rīgā.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valsts nekustamo īpašumu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22-TA-3802</w:t>
    </w:r>
    <w:r>
      <w:br/>
    </w:r>
    <w:r w:rsidR="00000000" w:rsidRPr="00000000" w:rsidDel="00000000">
      <w:rPr>
        <w:rtl w:val="0"/>
      </w:rPr>
      <w:t xml:space="preserve">Izdrukāts 29.07.2026. 21.40 - 1.0.VK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22-TA-3802</w:t>
    </w:r>
    <w:r>
      <w:br/>
    </w:r>
    <w:r w:rsidR="00000000" w:rsidRPr="00000000" w:rsidDel="00000000">
      <w:rPr>
        <w:rtl w:val="0"/>
      </w:rPr>
      <w:t xml:space="preserve">Izdrukāts 29.07.2026. 21.40 - 1.0.VK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rīkojuma_projekts_22-TA-3802.docx</dc:title>
</cp:coreProperties>
</file>

<file path=docProps/custom.xml><?xml version="1.0" encoding="utf-8"?>
<Properties xmlns="http://schemas.openxmlformats.org/officeDocument/2006/custom-properties" xmlns:vt="http://schemas.openxmlformats.org/officeDocument/2006/docPropsVTypes"/>
</file>