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15. augustā (prot. Nr. 40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atlases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 ar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ir visi Latvijas iedzīvotāji, veselības aprūpes pakalpojumu sniedzēji, Veselības ministrijas padotības iestādes,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4.1.1.1. pasākuma pirmās kārtas ietvaros sasniedzamais iznākuma rādītājs ir jaunu vai modernizētu veselības aprūpes iestāžu kapacitāte – līdz 2029. gada 31. decembrim sasniegt, ka pasākuma ietvaros izveidotās vai uzlabotās veselības aprūpes iestādes vismaz vienu reizi gada laikā apmeklē 2 226 984 iedzīvotāji.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mērķa iznākuma rādītājs ir noslēgto līgumu īpatsvars par ieguldījumiem veselības aprūpes infrastruktūras objektos – līdz 2029. gada 31. decembrim sasniegt, ka pasākuma ietvaros noslēgti līgumi vai vienošanās par projektu īstenošanu 100 procentu apmērā no visiem ieguldījumiem, tai skaitā nodrošināt, ka uz 2024. gada 31. decembri noslēgti līgumi vai vienošanās par projektu īstenošanu vismaz par 10 procentiem no pasākumiem pieejamā kopējā attiecināmā finansējuma, kas ietver Eiropas Savienības fondu finansējumu un nacionālo līdzfinansējumu, attiecīgi iekļaujot datus no 4.1.1.1., 4.1.1.2. pasākuma "P. Stradiņa klīniskās universitātes slimnīcas infrastruktūras attīstība" (turpmāk – 4.1.1.2. pasākums) un 4.1.1.5. pasākuma, kā arī no 4.1.1.3. pasākuma "Primārās veselības aprūpes lomas stiprināšana, attīstot infrastruktūru" (turpmāk – 4.1.1.3. pasākums) un 4.1.1.6. pasākuma "Hroniski slimo un nedziedināmi slimo pacientu aprūpei nepieciešamās infrastruktūras attīstība" (turpmāk – 4.1.1.6. pasākums).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mērķa rezultāta rādītājs ir to personu skaits gadā, kuras izmanto jaunu vai modernizētu veselības aprūpes iestāžu pakalpojumus, – līdz 2029. gada 31. decembrim sasniegt 3 878 460 personu gadā, ko iegūst, īstenojot 4.1.1.1., 4.1.1.2., 4.1.1.3. un 4.1.1.6. pasākumu, tai skaitā 4.1.1.1. pasākuma pirmās kārtas ietvaros – 2 024 531 persona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4.1.1.5. pasākuma specifiskais iznākuma rādītājs ir Neatliekamās medicīniskās palīdzības pakalpojumu sniegšanas efektivitātes uzlabošana, līdz 2029. gada 31. decembrim izveidojot trīs brigāžu atbalsta centrus tuvāk pakalpojumu saņēmējiem reģionos.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4.1.1.1. pasākuma pirmās kārtas ietvaros plānotais un pieejamais kopējais finansējums ir 96 688 876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82 185 545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14 503 331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4.1.1.5. pasākuma ietvaros plānotais un pieejamais kopējais finansējums ir 12 307 060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10 461 001 </w:t>
      </w:r>
      <w:r w:rsidR="00000000" w:rsidRPr="00000000" w:rsidDel="00000000">
        <w:rPr>
          <w:i w:val="1"/>
          <w:rtl w:val="0"/>
        </w:rPr>
        <w:t xml:space="preserve">euro</w:t>
      </w:r>
      <w:r w:rsidR="00000000" w:rsidRPr="00000000" w:rsidDel="00000000">
        <w:rPr>
          <w:rtl w:val="0"/>
        </w:rPr>
        <w:t xml:space="preserve"> un nacionālais valsts budžeta finansējums ir 1 846 059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attiecināmais Eiropas Reģionālās attīstības fonda finansējums nepārsniedz 85 procentus, nacionālais finansējums, kas iekļauj valsts budžeta un privāto finansējumu, nepārsniedz 15 procentus no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 pasākumam pieejamā kopējā publiskā finansējuma. Attiecināmais nacionālais privātais līdzfinansējums katram projektam tiek noteikts saskaņā ar šo noteikumu </w:t>
      </w:r>
      <w:r w:rsidR="00000000" w:rsidRPr="00000000" w:rsidDel="00000000">
        <w:rPr>
          <w:rtl w:val="0"/>
        </w:rPr>
        <w:t xml:space="preserve">44.</w:t>
      </w:r>
      <w:r w:rsidR="00000000" w:rsidRPr="00000000" w:rsidDel="00000000">
        <w:rPr>
          <w:rtl w:val="0"/>
        </w:rPr>
        <w:t xml:space="preserve">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4.1.1.1. pasākuma finansējuma saņēmējiem, izņemot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color w:val="#e74c3c"/>
          <w:rtl w:val="0"/>
        </w:rPr>
        <w:t xml:space="preserve"> </w:t>
      </w:r>
      <w:r w:rsidR="00000000" w:rsidRPr="00000000" w:rsidDel="00000000">
        <w:rPr>
          <w:rtl w:val="0"/>
        </w:rPr>
        <w:t xml:space="preserve">minēto gadījumu, komercdarbības atbalstu piešķir atbilstoši šīs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16.6.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 veicot līgumā noteiktās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 komercdarbības atbalstu drīkst kumulēt ar citu komercdarbības atbalstu, ko piešķir par pakalpojuma ar vispārēju tautsaimniecisku nozīmi sniegšanu,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komercdarbības atbalsta piešķiršanas dienu ir uzskatāma diena, kad sadarbības iestāde sniedz atzinumu par projekta apstiprināšanu vai projekta apstiprināšanu ar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4.1.1.5. pasākuma ietvaros atbalsts tiek sniegts deleģētās valsts funkcijas nodrošināšanai, un tas nav kvalificējams kā komercdarbības atbalsts. Finansējuma saņēmējs valsts deleģētās funkcijas īstenošanai paredzētās darbības un izmaksas nodala no citiem pakalpojumiem (tostarp maksas pakalpojumiem).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1.13. ailē minētajam 4.1.1.1. pasākuma projekta iesniedzējam atbalsts tiek sniegts deleģētās valsts funkcijas nodrošināšanai, un tas nav kvalificējams kā komercdarbības atbalsts, tostarp minētajam finansējuma saņēmējam pamatlīdzekļu un ilgtermiņa ieguldījumu nolietojuma periodā ir pieļaujams veikt papildinošu saimniecisko darbību 20 procentu apmērā no infrastruktūras gada jaudas platības, laika vai finanšu izteiksmē, lai atbalsts pasākuma ietvaros netiktu kvalificēts kā komercdarbības atbalsts.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konstatēts, ka infrastruktūrā, par kuru iesniegts projekta iesniegums, tiek veikta ne vien papildinoša saimnieciskā darbība, kas pārsniedz šo noteikumu </w:t>
      </w:r>
      <w:r w:rsidR="00000000" w:rsidRPr="00000000" w:rsidDel="00000000">
        <w:rPr>
          <w:rtl w:val="0"/>
        </w:rPr>
        <w:t xml:space="preserve">23.</w:t>
      </w:r>
      <w:r w:rsidR="00000000" w:rsidRPr="00000000" w:rsidDel="00000000">
        <w:rPr>
          <w:rtl w:val="0"/>
        </w:rPr>
        <w:t xml:space="preserve"> punktā minēto apmēru, bet tiek veikta arī cita saimnieciskā darbība, projekta iesniedzējam proporcionāli šai infrastruktūras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Veikto investīciju atbilstības uzraudzību atbilstoši šo noteikumu </w:t>
      </w:r>
      <w:r w:rsidR="00000000" w:rsidRPr="00000000" w:rsidDel="00000000">
        <w:rPr>
          <w:rtl w:val="0"/>
        </w:rPr>
        <w:t xml:space="preserve">23.</w:t>
      </w:r>
      <w:r w:rsidR="00000000" w:rsidRPr="00000000" w:rsidDel="00000000">
        <w:rPr>
          <w:rtl w:val="0"/>
        </w:rPr>
        <w:t xml:space="preserve"> punktā minētajiem nosacījumiem reizi gadā visā projekta dzīves ciklā nodrošina sadarbības iestāde.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nevar pretendēt uz atbalsta saņemšanu, ja tas atbilst grūtībās nonākuša komersanta statusam saskaņā ar Komisijas 2014. gada 17. jūnija Regulas Nr. 651/2014, ar ko noteiktas atbalsta kategorijas atzīst par saderīgām ar iekšējo tirgu, piemērojot Līguma 107. un 108. pantu, 2. panta 18.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nekad nav bijusi ierosināta maksātnespējas procesa lieta.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ārstniecības iestāde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sistēmu, tai skaitā ar parakstu apliecina projekta iesniedzēja un sadarbības partnera (ja attiecināms) interešu konflikta neesību atbilstoši Eiropas Parlamenta un Padomes 2018. gada 18. jūlija regulas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iesnieguma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ierobežotas projektu iesniegumu atlases, uzaicinot tajās piedalīties šo noteikumu </w:t>
      </w:r>
      <w:r w:rsidR="00000000" w:rsidRPr="00000000" w:rsidDel="00000000">
        <w:rPr>
          <w:rtl w:val="0"/>
        </w:rPr>
        <w:t xml:space="preserve">pielikumā</w:t>
      </w:r>
      <w:r w:rsidR="00000000" w:rsidRPr="00000000" w:rsidDel="00000000">
        <w:rPr>
          <w:rtl w:val="0"/>
        </w:rPr>
        <w:t xml:space="preserve"> minētos katra pasākuma projektu iesniedzējus.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atbalstāmās darbības ietvaros ir attiecināmas finansējuma saņēmēja projekta vadības personāla atlīdzības izmaksas, kas radušās uz darba līguma vai uzņēmuma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virs 5 000 000 </w:t>
      </w:r>
      <w:r w:rsidR="00000000" w:rsidRPr="00000000" w:rsidDel="00000000">
        <w:rPr>
          <w:i w:val="1"/>
          <w:rtl w:val="0"/>
        </w:rPr>
        <w:t xml:space="preserve">euro,</w:t>
      </w:r>
      <w:r w:rsidR="00000000" w:rsidRPr="00000000" w:rsidDel="00000000">
        <w:rPr>
          <w:rtl w:val="0"/>
        </w:rPr>
        <w:t xml:space="preserve"> – nepārsniedzot 84 787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ierobežojumu aprēķina ar minimālo izmaksu bāzi 34 422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apakšpunktā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un būvniecības jomu regulējošos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w:t>
      </w:r>
      <w:r w:rsidR="00000000" w:rsidRPr="00000000" w:rsidDel="00000000">
        <w:rPr>
          <w:rtl w:val="0"/>
        </w:rPr>
        <w:t xml:space="preserve"> apakšpunktā minētās izmaksas nepārsniedz 10 procentus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minētās atbalstāmās darbības ietvaros ir attiecināmas šādas ārstniecības procesam tieši nepieciešamo tehnoloģiju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4.1.1.5. pasākuma ietvaros ir atbalstāmas tehniskā nodrošinājuma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apakšpunktā minētā atbalstāmā darbība ietver komunikācijas un vizuālās identitātes prasību nodrošināšanas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atbalstāmo darbību īstenošanai ir attiecināmas neparedzētās izmaksas līdz pieciem procentiem no projekta kopējām tiešajām attiecināmajām izmaksām, ko projekta iesniegumā plāno kā vienu izmaksu pozīciju un izmanto papildu īstenošanas izmaksu segšanai, kas neparedzamu apstākļu dēļ ir kļuvušas nepieciešamas projekta īstenošanai. Neparedzēto izdevumu izlietošanu pirms izdevumu veikšanas finansējuma saņēmējs saskaņo ar sadarbības iestādi, kā to nosaka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35.1.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2021. gada 1. decembra.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Pasākuma 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33.</w:t>
      </w:r>
      <w:r w:rsidR="00000000" w:rsidRPr="00000000" w:rsidDel="00000000">
        <w:rPr>
          <w:rtl w:val="0"/>
        </w:rPr>
        <w:t xml:space="preserve"> punktu finansējuma saņēmējs, izņemot 4.1.1.5. pasākuma finansējuma saņēmēju un šo noteikumu </w:t>
      </w:r>
      <w:r w:rsidR="00000000" w:rsidRPr="00000000" w:rsidDel="00000000">
        <w:rPr>
          <w:rtl w:val="0"/>
        </w:rPr>
        <w:t xml:space="preserve">23.</w:t>
      </w:r>
      <w:r w:rsidR="00000000" w:rsidRPr="00000000" w:rsidDel="00000000">
        <w:rPr>
          <w:rtl w:val="0"/>
        </w:rPr>
        <w:t xml:space="preserve"> punktā minēto finansējuma saņēmēju,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19275" cy="6858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19275" cy="68580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66899" cy="6762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866899"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infrastruktūras izmantošanas proporcijas aprēķinu iesniedz sadarbības iestādei: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pēc vienošanās vai līguma par projekta īstenošanu noslēgšanas palielinās projekta publisko izmaksu maksimālais apmērs, kas aprēķināts saskaņā ar šo noteikumu </w:t>
      </w:r>
      <w:r w:rsidR="00000000" w:rsidRPr="00000000" w:rsidDel="00000000">
        <w:rPr>
          <w:rtl w:val="0"/>
        </w:rPr>
        <w:t xml:space="preserve">44.1.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44.1.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12.</w:t>
      </w:r>
      <w:r w:rsidR="00000000" w:rsidRPr="00000000" w:rsidDel="00000000">
        <w:rPr>
          <w:rtl w:val="0"/>
        </w:rPr>
        <w:t xml:space="preserve"> punktā minēto nacionālo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kā stratēģiski svarīgs projekts noteikts šo noteikumu </w:t>
      </w:r>
      <w:r w:rsidR="00000000" w:rsidRPr="00000000" w:rsidDel="00000000">
        <w:rPr>
          <w:rtl w:val="0"/>
        </w:rPr>
        <w:t xml:space="preserve">pielikuma</w:t>
      </w:r>
      <w:r w:rsidR="00000000" w:rsidRPr="00000000" w:rsidDel="00000000">
        <w:rPr>
          <w:rtl w:val="0"/>
        </w:rPr>
        <w:t xml:space="preserve"> 1.14. ailē norādītais valsts sabiedrības ar ierobežotu atbildību "Paula Stradiņa klīniskā universitātes slimnīca" projekts, kura ietvaros ne retāk kā reizi pusgadā tiek organizēti komunikācijas pasākumi par projekta aktualitātēm, ne mazāk kā piecas darbdienas pirms pasākuma informējot sadarbības iestādi un atbildīgo iestādi. Stratēģiski svarīgs projekts nodrošina komunikācijas plāna izstrādi atbilstoši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33.4.</w:t>
      </w:r>
      <w:r w:rsidR="00000000" w:rsidRPr="00000000" w:rsidDel="00000000">
        <w:rPr>
          <w:rtl w:val="0"/>
        </w:rPr>
        <w:t xml:space="preserve"> apakšpunktā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 kā arī ievēro Eiropas Savienības fondu 2021.–2027. gada plānošanas perioda un Atveseļošanas fonda komunikācijas un dizaina vadlīnijas;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šādiem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skaits, kuros Eiropas Reģionālās attīstības fonda ieguldījumu rezultātā ir nodrošināta vides un informācijas pieejamība. Finansējuma saņēmējam ir pienākums sniegt minēto informāciju, iesniedzot noslēguma maksājuma pieprasījumu par visu projekta periodu;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 vides un informācijas piekļūstamības pašnovērtējuma rezultāts atbilstoši Labklājības ministrijas izstrādātajai metodikai un pašnovērtējumā iegūtais punktu skaits, aizpildot vides pieejamības pašnovērtējuma anketu (</w:t>
      </w:r>
      <w:r w:rsidR="00000000" w:rsidRPr="00000000" w:rsidDel="00000000">
        <w:rPr>
          <w:rtl w:val="0"/>
        </w:rPr>
        <w:t xml:space="preserve">https://www.lm.gov.lv/lv/vides-un-informacijas-pieklustamibas-pasnovertejums-saskana-ar-lbn-200-21</w:t>
      </w:r>
      <w:r w:rsidR="00000000" w:rsidRPr="00000000" w:rsidDel="00000000">
        <w:rPr>
          <w:rtl w:val="0"/>
        </w:rPr>
        <w:t xml:space="preserve">). Finansējuma saņēmējam ir pienākums sniegt minēto informāciju, iesniedzot pēdējo maksājuma pieprasījumu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faktiski sasniegtajiem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Regulas Nr. 2021/1060 9. panta 4. punktam un Eiropas Parlamenta un Padomes 2020. gada 18. jūnija Regulas (ES) 2020/852 par regulējuma izveidi ilgtspējīgu ieguldījumu veicināšanai un ar kuru groza Regulu (ES) 2019/2088,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atklātā, pārredzamā, nediskriminējošā un konkurenci nodrošinošā,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izveido iekšējās kontroles sistēmu korupcijas un interešu konflikta riska novēršanai publiskas personas institūcijā atbilstoši normatīvajam regulējumam par iekšējās kontroles sistēmas pamatprasībām korupcijas un interešu konflikta riska novēršanai publiskas personas institūcijā.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pasākuma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veicina, ka atbalsts ne mazāk kā 30 procentu apmērā tiek ieguldīts infrastruktūras attīstībai, kurā tiek nodrošināti sekundārie ambulatorie veselības aprūpes pakalpojumi, izņemot šo noteikumu pielikuma 1.8., 1.9., 1.10. un 1.13. ailē minētos 4.1.1.1. pasākuma finansējuma saņēmējus un 4.1.1.5. pasākuma finansējuma saņēmējus, kā arī attiecīgi nodrošina uzskaiti.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pakalpojumu, preču piegādes vai būvdarbu līgumu un normatīvo aktu par valsts budžeta līdzekļu plānošanas kārtību Eiropas Savienības fondu projektu īstenošanai un maksājumu veikšanai 2021.–2027. gada plānošanas periodā. Sadarbības iestāde, pamatojoties uz finansējuma saņēmēja pieprasījumu un atbilstoši projekta plānoto maksājumu pieprasījumu iesniegšanas grafikam, veic avansa un starpposma maksājumus, ievērojot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ietvaros projektu īsteno saskaņā ar vienošanos vai līgumu par projekta īstenošanu, kas noslēgts starp finansējuma saņēmēju un sadarbības iestādi, bet ne ilgāk kā līdz 2029.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23-TA-742</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23-TA-742</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noteikumu_projekts_23-TA-742.docx</dc:title>
</cp:coreProperties>
</file>

<file path=docProps/custom.xml><?xml version="1.0" encoding="utf-8"?>
<Properties xmlns="http://schemas.openxmlformats.org/officeDocument/2006/custom-properties" xmlns:vt="http://schemas.openxmlformats.org/officeDocument/2006/docPropsVTypes"/>
</file>