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5. septembra noteikumos Nr. 537 "Noteikumi par portfeļgarantijām sīko (mikro), mazo un vidējo saimnieciskās darbības veicēju – juridisko personu – kreditēšanas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 un</w:t>
      </w:r>
      <w:r>
        <w:br/>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14.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5. septembra noteikumos Nr. 537 "Noteikumi par portfeļgarantijām sīko (mikro), mazo un vidējo saimnieciskās darbības veicēju – juridisko personu – kreditēšanas veicināšanai" (Latvijas Vēstnesis, 2017, 180. nr.; 2018, 49. nr.; 2020, 60A., 74A., 248. nr.; 2021, 77., 130. nr.; 2022, 53. nr.; 2023, 173. nr.; 2024, 118.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garantiju atbalsta īstenošanas kārtību, finansējumu, atbalstāmo darbību un izmaksu attiecināmības, kā arī valsts atbalsta nosacījumus sīkajiem (mikro), mazajiem, vidējiem, mazajiem vidējās kapitalizācijas un vidējās kapitalizācijas saimnieciskās darbības veicējiem – juridiskām personām (turpmāk – saimnieciskās darbības veicēji) – ierobežotas portfeļgarantijas veidā, kā arī Covid-19 izraisītās krīzes portfeļgarantijas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finanšu pakalpojums – finansētāja izsniegti aizdevumi investīciju veikšanai un apgrozāmo līdzekļu finansēšanai, finanšu līzings, banku garantijas, kredītvēstules;".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Garantiju izsniegšanai un sabiedrības "Altum" pārvaldības izmaksu segšanai izmanto Eiropas Savienības struktūrfondu un Kohēzijas fonda 2007.–2013. gada plānošanas perioda atmaksāto finansējumu 14 300 000 </w:t>
      </w:r>
      <w:r w:rsidR="00000000" w:rsidRPr="00000000" w:rsidDel="00000000">
        <w:rPr>
          <w:i w:val="1"/>
          <w:rtl w:val="0"/>
        </w:rPr>
        <w:t xml:space="preserve">euro </w:t>
      </w:r>
      <w:r w:rsidR="00000000" w:rsidRPr="00000000" w:rsidDel="00000000">
        <w:rPr>
          <w:rtl w:val="0"/>
        </w:rPr>
        <w:t xml:space="preserve">apmērā, šī finansējuma atmaksas un otrreiz atmaksāto finansējumu, ko plānots izmantot atkārtoti, līdz 14 300 000 </w:t>
      </w:r>
      <w:r w:rsidR="00000000" w:rsidRPr="00000000" w:rsidDel="00000000">
        <w:rPr>
          <w:i w:val="1"/>
          <w:rtl w:val="0"/>
        </w:rPr>
        <w:t xml:space="preserve">euro</w:t>
      </w:r>
      <w:r w:rsidR="00000000" w:rsidRPr="00000000" w:rsidDel="00000000">
        <w:rPr>
          <w:rtl w:val="0"/>
        </w:rPr>
        <w:t xml:space="preserve">, Eiropas Savienības struktūrfondu un Kohēzijas fonda 2014.–2020. gada plānošanas perioda darbības programmas "Izaugsme un nodarbinātība" atmaksāto publisko finansējumu 9 869 476 </w:t>
      </w:r>
      <w:r w:rsidR="00000000" w:rsidRPr="00000000" w:rsidDel="00000000">
        <w:rPr>
          <w:i w:val="1"/>
          <w:rtl w:val="0"/>
        </w:rPr>
        <w:t xml:space="preserve">euro </w:t>
      </w:r>
      <w:r w:rsidR="00000000" w:rsidRPr="00000000" w:rsidDel="00000000">
        <w:rPr>
          <w:rtl w:val="0"/>
        </w:rPr>
        <w:t xml:space="preserve">apmērā un šī finansējuma atmaksas, kā arī šo noteikumu 12. punktā minētos maksājumus: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darbības programmas "Uzņēmējdarbība un inovācijas" 2.2.1.4.1. apakšaktivitātes "Atbalsts aizdevumu veidā komersantu konkurētspējas uzlabošanai" ietvaros atmaksāto publisko finansējumu – 10 000 000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darbības programmas "Cilvēkresursi un nodarbinātība" papildinājuma 1.3.1.2. aktivitātes "Atbalsts pašnodarbinātības un uzņēmējdarbības uzsākšanai" ietvaros atmaksāto publisko finansējumu – 4 300 000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Eiropas Savienības struktūrfondu un Kohēzijas fonda 2014.–2020. gada plānošanas perioda darbības programmas "Izaugsme un nodarbinātība" 3.1.1. specifiskā atbalsta mērķa "Sekmēt mazo un vidējo komersantu izveidi un attīstību, īpaši apstrādes rūpniecībā un RIS3 prioritārajās nozarēs" 3.1.1.1. pasākuma "Aizdevumu garantijas" ERAF atmaksāto publisko finansējumu – 9 869 476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5.</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Sabiedrības "Altum" pārvaldības izmaksas, kas radušās līdz 2024. gada 31. decembrim, nosaka saskaņā ar sabiedrības "Altum" vadības izmaksu aprēķināšanas metodiku un sedz ar vadības maksu, ko nosaka, ievērojot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12. un 13. panta 3. punktā noteikto kopējās robežvērtības apmēru. Šajā punktā minētās pārvaldības izmaksas var tikt attiecinātas pirms šo noteikumu stāšanās spēkā, bet ne agrāk kā no 2017. gada 1. janvāra."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vai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(turpmāk – Komisijas regula Nr. 1408/2013)."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banku garantiju (tai skaitā konkursa, avansa maksājuma, saistību izpildes nodrošinājuma, ieturējuma naudas, maksājuma izpildes vai garantijas laika garantiju) banku garantiju limitiem vai kredītvēstuli banku kredītvēstuļu limitiem."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vienam saimnieciskās darbības veicējam garantēto finanšu pakalpojumu summa nepārsniedz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šo noteikumu 9.1. un 9.3. apakšpunktā minēto finanšu pakalpojumu termiņš ir no 12 mēnešiem līdz 10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10.6.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 šo noteikumu 9.2. un 9.4. apakšpunktā minēto finanšu pakalpojumu termiņš ir līdz pieciem gadiem;</w:t>
      </w:r>
      <w:r w:rsidR="00000000" w:rsidRPr="00000000" w:rsidDel="00000000">
        <w:rPr>
          <w:i w:val="1"/>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10.7.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10.9.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 mazo vidējās kapitalizācijas un vidējās kapitalizācijas saimnieciskās darbības veicēju garantijas kredīta kvalitāte ir pielīdzināma vismaz B– kredītreitingam, kas norādīts šo noteikumu pielikumā minētajai kredīta kvalitātes klasei "Maksātspēju varētu mazināt nelabvēlīgi apstākļi" atbilstoši Komisijas regulas Nr. 2023/2831 4. panta 6. punkta "a" apakšpunktam vai Komisijas regulas Nr. 1408/2013 4. panta 6. punkta "a"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Par garantijas izsniegšanu, tostarp pagarinot iepriekš izsniegtās garantijas termiņu, piemēro vienreizēju garantijas prēmiju no garantijas segtās finanšu pakalpojumu summas saskaņā ar sabiedrības "Altum" cenrādi."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finanšu pakalpojuma refinansēšanai, izņemot gadījumu, ja tiek refinansēts sabiedrības "Altum" aizdevums, ievērojot normatīvos aktus komercdarbības atbalsta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ja saimnieciskās darbības veicējam ir ierosināta tiesiskās aizsardzības procesa lieta, tiek īstenots tiesiskās aizsardzības process vai ir pasludināts maksātnespējas process;".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13.3.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13.7.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 ieroču un munīcijas tirdzniecībai (NACE 2.1 redakcijas grupa 47.63 "Sporta aprīkojuma mazumtirdzniecība" un klase 47.92 "Specializētas mazumtirdzniecības starpniecības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13.8.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"13.8. tabakas izstrādājumu ražošanai un tirdzniecībai (NACE 2.1 redakcijas 12. nodaļa "Tabakas izstrādājumu ražošana", klase 46.35 "Tabakas izstrādājumu vairumtirdzniecība", klase 47.26 "Tabakas izstrādājumu mazumtirdzniecība specializētajos veikalos" un klase 47.92 "Specializētas mazumtirdzniecības starpniecības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13.9.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"13.9. alkohola tirdzniecībai (NACE 2.1 redakcijas grupa 46.34 "Dzērienu vairumtirdzniecība", grupa 47.25 "Alkoholisko un citu dzērienu mazumtirdzniecība specializētajos veikalos" un klase 47.92 "Specializētas mazumtirdzniecības starpniecības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13.10.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"13.10. azartspēlēm un derībām (NACE 2.1 redakcijas 92. nodaļa "Azartspēles un derības")."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Papildus šo noteikumu 13. punkta nosacījumiem garantiju nepiešķir: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 Komisijas regulas Nr. 2023/2831 1. panta 1. punkta "a" un "c" apakšpunktā minētajām nozarēm, 1. panta 1. punkta "b" un "d" apakšpunktā minētajām nozaru darbībām un 1. panta 1. punkta "e" un "f" apakšpunktā minētajām darbībām, ja garantiju piešķir saskaņā ar Komisijas regulu Nr. 2023/2831;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 Komisijas regulas Nr. 1408/2013 1. panta 1. punkta "a", "b" un "c" apakšpunktā minētajām darbībām, ja garantiju piešķir saskaņā ar Komisijas regulu Nr. 1408/2013."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Ja garantija tiek piešķirta kā </w:t>
      </w:r>
      <w:r w:rsidR="00000000" w:rsidRPr="00000000" w:rsidDel="00000000">
        <w:rPr>
          <w:i w:val="1"/>
          <w:rtl w:val="0"/>
        </w:rPr>
        <w:t xml:space="preserve">de minimis</w:t>
      </w:r>
      <w:r w:rsidR="00000000" w:rsidRPr="00000000" w:rsidDel="00000000">
        <w:rPr>
          <w:rtl w:val="0"/>
        </w:rPr>
        <w:t xml:space="preserve"> atbalsts, saimnieciskās darbības veicējs nodrošina attiecināmo nozaru, darbību un izmaksu uzskaites nodalīšanu, lai darbības izslēgtajās nozarēs vai aizliegtajās darbībās negūtu labumu no šī atbalsta: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ja garantija tiek piešķirta saskaņā ar Komisijas regulu Nr. 2023/2831 – atbilstoši Komisijas regulas Nr. 2023/2831 1. panta 2.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ja garantija tiek piešķirta saskaņā ar Komisijas regulu Nr. 1408/2013 – atbilstoši Komisijas regulas Nr. 1408/2013 1. panta 2. un 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Pirms līguma noslēgšanas ar finansētāju sabiedrība "Altum" iesniedz saskaņošanai Ekonomikas ministrijā un Finanšu ministrijā sabiedrības "Altum" izstrādātu metodoloģiju par visu finansiālo priekšrocību nodošanu saimnieciskās darbības veicējiem. Metodoloģiju pamato ar finansētāju cenu noteikšanas un nodrošinājuma politiku."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19.3.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finansētājs iekļauj finanšu pakalpojumus portfelī līdz diviem gadiem, bet, sākot ar piekto atlases kārtu, – līdz trim gadiem no līguma noslēgšanas ar sabiedrību "Altum". Sabiedrība "Altum" un finansētājs var vienoties par šā termiņa pagarināšanu, bet ne ilgāk kā par diviem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Atlases nosacījumus, tai skaitā pieteikšanās nosacījumus un kārtību, un atlases vai noraidīšanas kritērijus apstiprina sabiedrība "Altum" un publicē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atlases kārtu ietvaros netiek rezervēts viss pieejamais finansējums un atlases nosacījumos ir paredzēta šāda iespēja, sabiedrība "Altum" var slēgt līgumus arī ar citiem finansētājiem, kas kvalificējušies atlasē saskaņā ar atlases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 24.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Sabiedrība "Altum" finansētājus vērtē, pamatojoties uz kvantitatīvajiem un kvalitatīvajiem rādītājiem, tai skaitā finanšu stabilitātes rādītājiem, kā arī uz publiski pieejamo informāciju par uzraugošo institūciju veiktajiem uzraudzības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Piesakoties atbalstam, saimnieciskās darbības veicējs </w:t>
      </w:r>
      <w:r w:rsidR="00000000" w:rsidRPr="00000000" w:rsidDel="00000000">
        <w:rPr>
          <w:i w:val="1"/>
          <w:rtl w:val="0"/>
        </w:rPr>
        <w:t xml:space="preserve">de minimis</w:t>
      </w:r>
      <w:r w:rsidR="00000000" w:rsidRPr="00000000" w:rsidDel="00000000">
        <w:rPr>
          <w:rtl w:val="0"/>
        </w:rPr>
        <w:t xml:space="preserve"> atbalsta sistēmā aizpilda veidlapu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vai Komisijas regulas Nr. 1408/2013 3. panta 2. un 3.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 2023/2831 2. panta 2. punkta vai Komisijas regulas Nr. 1408/2013 2. panta 2.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28.2.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"28.2. ja saimnieciskās darbības veicējs ir sadalīts, piešķirto </w:t>
      </w:r>
      <w:r w:rsidR="00000000" w:rsidRPr="00000000" w:rsidDel="00000000">
        <w:rPr>
          <w:i w:val="1"/>
          <w:rtl w:val="0"/>
        </w:rPr>
        <w:t xml:space="preserve">de minimis</w:t>
      </w:r>
      <w:r w:rsidR="00000000" w:rsidRPr="00000000" w:rsidDel="00000000">
        <w:rPr>
          <w:rtl w:val="0"/>
        </w:rPr>
        <w:t xml:space="preserve"> atbalstu attiecina uz to saimnieciskās darbības veicēju, kas guva labumu no piešķirtā </w:t>
      </w:r>
      <w:r w:rsidR="00000000" w:rsidRPr="00000000" w:rsidDel="00000000">
        <w:rPr>
          <w:i w:val="1"/>
          <w:rtl w:val="0"/>
        </w:rPr>
        <w:t xml:space="preserve">de minimis</w:t>
      </w:r>
      <w:r w:rsidR="00000000" w:rsidRPr="00000000" w:rsidDel="00000000">
        <w:rPr>
          <w:rtl w:val="0"/>
        </w:rPr>
        <w:t xml:space="preserve"> atbalsta un kas pārņēma darbības, kurām sākotnēji tika izmantots </w:t>
      </w:r>
      <w:r w:rsidR="00000000" w:rsidRPr="00000000" w:rsidDel="00000000">
        <w:rPr>
          <w:i w:val="1"/>
          <w:rtl w:val="0"/>
        </w:rPr>
        <w:t xml:space="preserve">de minimis</w:t>
      </w:r>
      <w:r w:rsidR="00000000" w:rsidRPr="00000000" w:rsidDel="00000000">
        <w:rPr>
          <w:rtl w:val="0"/>
        </w:rPr>
        <w:t xml:space="preserve"> atbalsts, vai arī, ja minētā attiecināšana nav iespējama, piešķirto </w:t>
      </w:r>
      <w:r w:rsidR="00000000" w:rsidRPr="00000000" w:rsidDel="00000000">
        <w:rPr>
          <w:i w:val="1"/>
          <w:rtl w:val="0"/>
        </w:rPr>
        <w:t xml:space="preserve">de minimis</w:t>
      </w:r>
      <w:r w:rsidR="00000000" w:rsidRPr="00000000" w:rsidDel="00000000">
        <w:rPr>
          <w:rtl w:val="0"/>
        </w:rPr>
        <w:t xml:space="preserve"> atbalstu attiecina proporcionāli, pamatojoties uz saimnieciskās darbības veicēja pašu kapitāla bilances vērtību sadales faktiskajā datumā."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Saimnieciskās darbības veicēja subsīdijas ekvivalentu finansētājs aprēķina, ievērojot Komisijas regulas Nr. 2023/2831 4. panta 6. punkta "b" apakšpunktu vai Komisijas regulas Nr. 1408/2013 4. panta 6. punkta "b"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Ievērojot Komisijas regulas Nr. 2023/2831 vai Komisijas regulas Nr. 1408/2013 5. pantā minētos nosacījumus,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Nr. 2023/2831 3. panta 2. punktā vai Komisijas regulas Nr. 1408/2013 3. panta 2. punktā noteiktajam robežlielumam, kā arī drīkst apvienot ar citu valsts atbalstu, tai skaitā attiecībā uz vienām un tām pašām attiecināmajām izmaksām vai citu valsts atbalstu tam pašam riska finansējuma pasākumam, ja šīs apvienošanas rezultātā netiek pārsniegta attiecīgā maksimālā atbalsta intensitāte vai atbalsta summa, kāda noteikta valsts atbalsta programmā, atbalsta projektā vai Eiropas Komisijas lēmumā. Šādā gadījumā saimnieciskās darbības veicējs iesniedz sabiedrībai "Altum" visu informāciju par plānoto un piešķirto valsts atbalstu par tām pašām attiecināmajām izmaksām, norādot atbalsta piešķiršanas datumu, atbalsta sniedzēja nosaukumu, atbalsta pasākumu un plānoto vai piešķirto atbalsta summu un atbalsta intensitāti."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32.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2023/2831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 savukārt finansētājam ir pienākums atbilstoši līgumam atgūto atbalsta summu kopā ar procentiem pārskaitīt atbalsta sniedzējam – sabiedrībai "Altum"."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Atbalstu saskaņā ar šiem noteikumiem sniedz līdz Komisijas regulas Nr. 2023/2831 7. panta 3. punktā un 8. pantā vai Komisijas regulas Nr. 1408/2013 7. panta 4. punktā un 8. pantā noteiktā piemērošanas termiņa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25-TA-782</w:t>
    </w:r>
    <w:r>
      <w:br/>
    </w:r>
    <w:r w:rsidR="00000000" w:rsidRPr="00000000" w:rsidDel="00000000">
      <w:rPr>
        <w:rtl w:val="0"/>
      </w:rPr>
      <w:t xml:space="preserve">Izdrukāts 29.07.2026. 23.16 - 1.0.VK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25-TA-782</w:t>
    </w:r>
    <w:r>
      <w:br/>
    </w:r>
    <w:r w:rsidR="00000000" w:rsidRPr="00000000" w:rsidDel="00000000">
      <w:rPr>
        <w:rtl w:val="0"/>
      </w:rPr>
      <w:t xml:space="preserve">Izdrukāts 29.07.2026. 23.16 - 1.0.VK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noteikumu_(grozījumu)_projekts_25-TA-782.docx</dc:title>
</cp:coreProperties>
</file>

<file path=docProps/custom.xml><?xml version="1.0" encoding="utf-8"?>
<Properties xmlns="http://schemas.openxmlformats.org/officeDocument/2006/custom-properties" xmlns:vt="http://schemas.openxmlformats.org/officeDocument/2006/docPropsVTypes"/>
</file>