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Modernās biodegvielas un modernās biogāzes (biometāna) ražošanas izejvielas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Izejvielas biogāzes (biometāna) ražošanai transportam un modernajām biodegvielām</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Aļģes, kuras audzētas uz zemes dīķos vai fotobioreaktoros.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Jauktu sadzīves atkritumu biomasas frakcija, izņemot šķirotus sadzīves atkritumus, uz kuriem attiecas normatīvajos aktos par atkritumu apsaimniekošanu noteiktie sadzīves atkritumu savākšanas un pārstrādes mērķi.</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Bioloģiskie atkritumi saskaņā ar normatīvajiem aktiem par atkritumu apsaimniekošanu, kuru izcelsme ir privātas mājsaimniecības, uz kurām attiecas dalītā savākšana, kas noteikta Atkritumu apsaimniekošanas likuma 1. panta 9. punktā.</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Ražošanas atkritumu biomasas frakcija, ko nevar izmantot pārtikas vai barības ķēdē, tai skaitā materiāli no mazumtirdzniecības un vairumtirdzniecības, lauksaimniecības, pārtikas ražošanas, zvejniecības un akvakultūras nozares, izņemot tādas izejvielas kā lietotā cepamā eļļa vai dzīvnieku tauki, ko klasificē 1. un 2. kategorijā saskaņā ar Eiropas Parlamenta un Padomes 2009. gada 21. oktobra regulu (EK) Nr. 1069/2009, ar ko nosaka veselības aizsardzības noteikumus attiecībā uz dzīvnieku izcelsmes blakusproduktiem un atvasinātajiem produktiem, kuri nav paredzēti cilvēku patēriņam, un ar ko atceļ regulu (EK) Nr. 1774/2002 (Dzīvnieku izcelsmes blakusproduktu regula).</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Salmi.</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Kūtsmēsli un notekūdeņu dūņas.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Palmu eļļas ražošanas šķidrās atliekas un tukši palmu augļu ķekari.</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 Taleļļas darva.</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 Jēlglicerīns.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Cukurniedru izspaidas.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Vīnogu čagas un vīna nogulsnes.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 Riekstu čaumalas.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 Sēnalas.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 Vālītes, kas attīrītas no kukurūzas graudiem.</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 Mežsaimniecības un uz mežsaimniecību balstītu nozaru atkritumu un atlikumu biomasas frakcija – mizas, zari, pirms tirgū laišanas veiktas starpcirtes produkti, lapas, skujas, koku galotnes, zāģskaidas, ēveļskaidas, melnais atsārms, brūnais atsārms, šķiedru duļķes, lignīns un taleļļas darva.</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 Cits nepārtikas celulozes materiāls – izejvielas, kas galvenokārt sastāv no celulozes un hemicelulozes un kam ir zemāks lignīna saturs nekā lignocelulozes materiālam, tostarp izejvielas no pārtikas un dzīvnieku barības kultūraugu atlikumiem (dažādu graudaugu salmi, sēnalas un čaumalas, enerģētiskās zālaugu kultūras ar zemu cietes saturu (piemēram, airene, klūdziņprosa, miskante, Spānijas niedre), virsaugi pirms un pēc galvenajiem kultūraugiem, augsnes saglabāšanas kultūraugi, rūpniecības atlikumi (tostarp no pārtikas un dzīvnieku barības kultūraugiem pēc augu eļļu, cukuru, cietes un proteīnu ekstrakcijas), materiāli no bioloģiskajiem atkritumiem, ja augsnes saglabāšanas kultūraugus un virsaugus saprot kā īstermiņa uz laiku sētas ganības, kas satur zāles un pākšaugu maisījumu ar zemu cietes saturu, ko izmanto lopbarības iegūšanai un kas uzlabo augsnes auglību, lai varētu iegūt lielākas galveno laukaugu ražas).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Cits lignocelulozes materiāls, izņemot zāģbaļķus un finierklučus.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Fūzeļeļļas no spirta destilācijas.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Neapstrādāts metanols no kraftpulpas procesa, iegūts koksnes pulpas ražošanā.</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Starpkultūras, piemēram, uztvērējaugi un sedzējaugi, ko audzē platībās, kurās pārtikas un dzīvnieku barības kultūraugu ražošana īsa veģetācijas perioda dēļ nepārsniedz vienu ražu, ar nosacījumu, ka to izmantošana nerada pieprasījumu pēc papildu zemes un ka tiek saglabāts augsnes organiskās vielas saturs, ja šos augus izmanto tādas biodegvielas ražošanai, ko var izmantot gaisa kuģos.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Kultūraugi, ko audzē stipri degradētā zemē (izņemot pārtikas un dzīvnieku barības kultūraugus), ja tos izmanto tādas biodegvielas ražošanai, ko izmanto gaisa kuģos.</w:t>
      </w:r>
    </w:p>
    <w:p w:rsidP="00000000" w:rsidRDefault="00000000" w:rsidR="00000000" w:rsidRPr="00000000" w:rsidDel="00000000">
      <w:pPr>
        <w:numPr>
          <w:ilvl w:val="0"/>
          <w:numId w:val="1"/>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Zilaļģes.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Izejvielas tādas biodegvielas un biogāzes (biometāna) ražošanai, kuras devums šā likuma 8. un 9. pantā noteikto pienākumu izpildei ir ierobežots</w:t>
      </w:r>
    </w:p>
    <w:p w:rsidP="00000000" w:rsidRDefault="00000000" w:rsidR="00000000" w:rsidRPr="00000000" w:rsidDel="00000000">
      <w:pPr>
        <w:numPr>
          <w:ilvl w:val="0"/>
          <w:numId w:val="2"/>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Lietotā cepamā eļļa.</w:t>
      </w:r>
    </w:p>
    <w:p w:rsidP="00000000" w:rsidRDefault="00000000" w:rsidR="00000000" w:rsidRPr="00000000" w:rsidDel="00000000">
      <w:pPr>
        <w:numPr>
          <w:ilvl w:val="0"/>
          <w:numId w:val="2"/>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 Dzīvnieku tauki, ko klasificē 1. un 2. kategorijā saskaņā ar Eiropas Parlamenta un Padomes 2009. gada 21. oktobra regulu (EK) Nr. 1069/2009, ar ko nosaka veselības aizsardzības noteikumus attiecībā uz dzīvnieku izcelsmes blakusproduktiem un atvasinātajiem produktiem, kuri nav paredzēti cilvēku patēriņam, un ar ko atceļ regulu (EK) Nr. 1774/2002 (Dzīvnieku izcelsmes blakusproduktu regula).</w:t>
      </w:r>
    </w:p>
    <w:p w:rsidP="00000000" w:rsidRDefault="00000000" w:rsidR="00000000" w:rsidRPr="00000000" w:rsidDel="00000000">
      <w:pPr>
        <w:numPr>
          <w:ilvl w:val="0"/>
          <w:numId w:val="2"/>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Bojāti kultūraugi, kas nav derīgi izmantošanai pārtikas vai dzīvnieku barības ķēdē, izņemot vielas, kas tīši pārveidotas vai piesārņotas tā, lai tās uzskatītu par atkritumiem.</w:t>
      </w:r>
    </w:p>
    <w:p w:rsidP="00000000" w:rsidRDefault="00000000" w:rsidR="00000000" w:rsidRPr="00000000" w:rsidDel="00000000">
      <w:pPr>
        <w:numPr>
          <w:ilvl w:val="0"/>
          <w:numId w:val="2"/>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Sadzīves notekūdeņi un to derivāti, izņemot notekūdeņu dūņas.</w:t>
      </w:r>
    </w:p>
    <w:p w:rsidP="00000000" w:rsidRDefault="00000000" w:rsidR="00000000" w:rsidRPr="00000000" w:rsidDel="00000000">
      <w:pPr>
        <w:numPr>
          <w:ilvl w:val="0"/>
          <w:numId w:val="2"/>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Kultūraugi, ko audzē stipri degradētā zemē (izņemot pārtikas un dzīvnieku barības kultūraugus un izejvielas, kas norādītas šā pielikuma A daļā), ja tos neizmanto tādas biodegvielas ražošanai, ko izmanto gaisa kuģos.</w:t>
      </w:r>
    </w:p>
    <w:p w:rsidP="00000000" w:rsidRDefault="00000000" w:rsidR="00000000" w:rsidRPr="00000000" w:rsidDel="00000000">
      <w:pPr>
        <w:numPr>
          <w:ilvl w:val="0"/>
          <w:numId w:val="2"/>
        </w:numPr>
        <w:ind w:left="750" w:hanging="-361"/>
        <w:jc w:val="both"/>
        <w:contextualSpacing w:val="0"/>
        <w:spacing w:before="0"/>
        <w:rPr>
          <w:u w:val="none"/>
        </w:rPr>
      </w:pPr>
      <w:r w:rsidR="00000000" w:rsidRPr="00000000" w:rsidDel="00000000">
        <w:rPr>
          <w:rtl w:val="0"/>
        </w:rPr>
        <w:t xml:space="preserve"/>
      </w:r>
      <w:r w:rsidR="00000000" w:rsidRPr="00000000" w:rsidDel="00000000">
        <w:rPr>
          <w:rtl w:val="0"/>
        </w:rPr>
        <w:t xml:space="preserve">Starpkultūras, piemēram, uztvērējaugi un sedzējaugi (izņemot šā pielikuma A daļā norādītās izejvielas), ko audzē platībās, kurās pārtikas un dzīvnieku barības kultūraugu ražošana īsa veģetācijas perioda dēļ nepārsniedz vienu ražu, ar nosacījumu, ka to izmantošana nerada pieprasījumu pēc papildu zemes un ka tiek saglabāts augsnes organiskās vielas saturs, ja šos augus neizmanto tādas biodegvielas ražošanai, ko izmanto gaisa kuģos.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23-TA-1451</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23-TA-1451</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decimal"/>
      <w:lvlRestart w:val="1"/>
      <w:lvlText w:val="%1."/>
      <w:lvlJc w:val="left"/>
      <w:pPr>
        <w:ind w:left="750" w:firstLine="1110"/>
      </w:pPr>
      <w:rPr>
        <w:u w:val="none"/>
      </w:rPr>
    </w:lvl>
  </w:abstractNum>
  <w:abstractNum w:abstractNumId="2">
    <w:multiLevelType w:val="hybridMultilevel"/>
    <w:lvl w:ilvl="0">
      <w:start w:val="1"/>
      <w:numFmt w:val="decimal"/>
      <w:lvlRestart w:val="1"/>
      <w:lvlText w:val="%1."/>
      <w:lvlJc w:val="left"/>
      <w:pPr>
        <w:ind w:left="750" w:firstLine="111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likumprojekts_p_23-TA-1451.docx</dc:title>
</cp:coreProperties>
</file>

<file path=docProps/custom.xml><?xml version="1.0" encoding="utf-8"?>
<Properties xmlns="http://schemas.openxmlformats.org/officeDocument/2006/custom-properties" xmlns:vt="http://schemas.openxmlformats.org/officeDocument/2006/docPropsVTypes"/>
</file>