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aprīlī (prot. Nr. 22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(Latvijas Vēstnesis, 2022, 185., 200A. nr.; 2023, 131., 227. nr.; 2024, 52., 89., 168., 202. nr.; 2025, 20., 78. nr.; 2026, 15.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Pasākuma Atveseļošanas fonda finansējums ir 8 593 489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nodokļa segšanai – indikatīvi 252 765 </w:t>
      </w:r>
      <w:r w:rsidR="00000000" w:rsidRPr="00000000" w:rsidDel="00000000">
        <w:rPr>
          <w:i w:val="1"/>
          <w:rtl w:val="0"/>
        </w:rPr>
        <w:t xml:space="preserve">euro</w:t>
      </w:r>
      <w:r w:rsidR="00000000" w:rsidRPr="00000000" w:rsidDel="00000000">
        <w:rPr>
          <w:rtl w:val="0"/>
        </w:rPr>
        <w:t xml:space="preserve">, kā arī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ir tieši saistītas ar šo noteikumu 7.3. apakšpunktā minēto atskaites punktu sasniegšanu, atbilst šo noteikumu 14. punktā minētajām atbalstāmajām darbībām un šo noteikumu 15. punktā minētajām attiecināmo izmaksu pozīcijām."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26-TA-515</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26-TA-515</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noteikumu_(grozījumu)_projekts_26-TA-515.docx</dc:title>
</cp:coreProperties>
</file>

<file path=docProps/custom.xml><?xml version="1.0" encoding="utf-8"?>
<Properties xmlns="http://schemas.openxmlformats.org/officeDocument/2006/custom-properties" xmlns:vt="http://schemas.openxmlformats.org/officeDocument/2006/docPropsVTypes"/>
</file>