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8. novembrī (prot. Nr. 56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Mājokļu pieejamības pamatnostādnēm 2023.–2027.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Mājokļu pieejamības pamatnostādnes 2023.–2027. gadam (turpmāk – pamatnostādnes).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Ekonomikas ministriju par atbildīgo institūciju pamatnostādņu īstenošanā, bet Finanšu ministriju, Vides aizsardzības un reģionālās attīstības ministriju, Tieslietu ministriju, Labklājības ministriju un Klimata un enerģētikas ministriju – par līdzatbildīgajām institūcijām.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sagatavot un ekonomikas ministram iesniegt noteiktā kārtībā Ministru kabinetā: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1. jūlijam – pamatnostādņu īstenošanas plānu;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31. decembrim – pamatnostādņu īstenošanas starpposma ietekmes izvērtējumu.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Atbildīgajām un līdzatbildīgajām institūcijām pamatnostādnēs iekļautos uzdevumus 2023. un 2024. gadā īstenot atbilstoši tām piešķirtajiem valsts budžeta līdzekļiem. Jautājumu par papildu valsts budžeta līdzekļu piešķiršanu pamatnostādnēs noteikto uzdevumu īstenošanai 2025. gadā un turpmākajiem gadiem skatīt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 Ja valsts budžeta likumprojekta sagatavošanas procesā papildu valsts budžeta finansējums pamatnostādnēs paredzēto uzdevumu īstenošanai netiek piešķirts vai tiek piešķirts daļēji, atbildīgajām un līdzatbildīgajām institūcijām nodrošināt, ka tiek īstenoti tie pamatnostādnēs paredzētie uzdevumi, kurus var nodrošināt atbilstoši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Jautājumus, kas skar nodokļu politikas pilnveidi, skatīt Nodokļu politikas pamatnostādņu 2024.–2027. gadam sagatavošanas procesa ietvaros.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22-TA-1500</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22-TA-1500</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rīkojuma_projekts_22-TA-1500.docx</dc:title>
</cp:coreProperties>
</file>

<file path=docProps/custom.xml><?xml version="1.0" encoding="utf-8"?>
<Properties xmlns="http://schemas.openxmlformats.org/officeDocument/2006/custom-properties" xmlns:vt="http://schemas.openxmlformats.org/officeDocument/2006/docPropsVTypes"/>
</file>