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9.panta 8.</w:t>
      </w:r>
      <w:r w:rsidR="00000000" w:rsidRPr="00000000" w:rsidDel="00000000">
        <w:rPr>
          <w:rStyle w:val="paragraph_header"/>
          <w:b w:val="1"/>
          <w:vertAlign w:val="superscript"/>
          <w:rtl w:val="0"/>
        </w:rPr>
        <w:t xml:space="preserve">2</w:t>
      </w:r>
      <w:r w:rsidR="00000000" w:rsidRPr="00000000" w:rsidDel="00000000">
        <w:rPr>
          <w:rStyle w:val="paragraph_header"/>
          <w:b w:val="1"/>
          <w:rtl w:val="0"/>
        </w:rPr>
        <w:t xml:space="preserve"> daļas piemērošanas piemērs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17.12.2013. noteikumu Nr.1526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persona ir atsavinājusi vairākus nekustamā īpašuma objektus – dzīvokļa īpašuma sastāvā ietilpstošo atsevišķo īpašumu – dzīvokli ārpus telpu grupas esošas un ar to funkcionāli saistītas palīgtelpas (piemēram, pagrabu), kā arī kopīpašumā esošo dzīvojamās mājas daļu un kopīpašumā esošo zemes domājamo daļu. Minētie nekustamā īpašuma objekti ir nostiprināti atsevišķās zemesgrāmatās, bet atrodas vienā adresē. Šajā gadījumā Valsts ieņēmumu dienests var uzskatīt, ka nekustamā īpašuma objekti veido vienu nekustamo īpašumu Dzīvokļa īpašuma likuma izpratnē.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noteikumu_konsolidētā_versija_p2_1_22-TA-3481.docx</dc:title>
</cp:coreProperties>
</file>

<file path=docProps/custom.xml><?xml version="1.0" encoding="utf-8"?>
<Properties xmlns="http://schemas.openxmlformats.org/officeDocument/2006/custom-properties" xmlns:vt="http://schemas.openxmlformats.org/officeDocument/2006/docPropsVTypes"/>
</file>