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Aizsardzības ministrija īsteno projektu konkursus militāru vai divējāda lietojuma produktu attīstības atbalstam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Aizsardzības industrijas likuma 5.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Aizsardzības ministrija sagatavo un izsludina projektu konkursu militāra vai divējāda lietojuma produktu attīstības atbalstam;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izvērtē projektu konkursa iesniegumus un pieņem lēmumus par projekta konkursa uzvarētājiem;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kārtību un kontroles nodrošināšanas kārtību, lai sniegtais atbalsts tiktu izmantots atbilstoši tam paredzētajiem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atbalsts – komercdarbības atbalsts, ko sniedz saskaņā ar Komisijas 2023. gada 13. decembra Regulu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divējāda lietojuma produkti – divējāda lietojuma preces atbilstoši Eiropas Padomes 2009. gada 5. maija Regulas (EK) Nr. 428/2009, ar ko izveido Kopienas režīmu divējāda lietojuma preču eksporta, pārvadājumu, starpniecības un tranzīta kontrolei, 2. panta 1. punktā lietotajai terminoloģijai;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mazie un vidējie uzņēmumi – uzņēmumi, kas atbilst Eiropas Komisijas 2014. gada 17. jūnija Regulas (ES) Nr. 651/2014, ar ko noteiktas atbalsta kategorijas atzīst par saderīgām ar iekšējo tirgu, piemērojot Līguma 107. un 108. pantu (turpmāk – Komisijas regula Nr. 651/2014), I pielikumā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militāra lietojuma produkti – preces (produkti), kas īpaši izstrādātas vai pielāgotas militārām vajadzībām un ir izmantojamas kā ieroči, munīcija vai militārais aprīkojums, tai skaitā militāra rakstura preces, kas noteiktas Līguma par Eiropas Savienības darbību 346. pantā minētajā sarakstā, kā arī to sastāvdaļas un detaļas;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pētniecības organizācija – subjekts, kas atbilst Komisijas regulas Nr. 651/2014 2. panta 83. punktā lietotajai terminoloģijai;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viens vienots uzņēmums – uzņēmums, kas atbilst Komisijas regulas 2023/2831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zemu nodokļu vai beznodokļu valstis un teritorijas – valstis un teritorijas, kuras noteiktas normatīvajos aktos par zemu nodokļu vai beznodokļu valstīm un teritorijām;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tehnoloģiju gatavības līmenis – (angļu val. – </w:t>
      </w:r>
      <w:r w:rsidR="00000000" w:rsidRPr="00000000" w:rsidDel="00000000">
        <w:rPr>
          <w:i w:val="1"/>
          <w:rtl w:val="0"/>
        </w:rPr>
        <w:t xml:space="preserve">technology readiness level</w:t>
      </w:r>
      <w:r w:rsidR="00000000" w:rsidRPr="00000000" w:rsidDel="00000000">
        <w:rPr>
          <w:rtl w:val="0"/>
        </w:rPr>
        <w:t xml:space="preserve">, turpmāk – TRL) tehnoloģiju brieduma pakāpes mērījums. Tehnoloģiju brieduma pakāpes iedala šādos līmeņos: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TRL 1 – izzināti dabas likumi: zinātniskā pētījuma rezultāti ļauj uzsākt lietišķās pētniecības un tehnoloģijas attīstības darbus;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TRL 2 – formulēta tehnoloģijas praktiskā lietojuma koncepcija;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TRL 3 – koncepcijas eksperimentālā pārbaude: uzsākta izpēte un izstrāde (analītiskie/laboratorijas pētījumi), lai apstiprinātu prognozes par tehnoloģijas komponentiem;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TRL 4 – tehnoloģijas validācija laboratorijas vidē: veikta galveno tehnoloģisko komponentu integrācija, lai pārbaudītu to kopdarbību laboratorijas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TRL 5 – tehnoloģijas validācija mākslīgi radītā vidē: tehnoloģiskie komponenti ir integrēti ar samērā reāliem atbalsta elementiem, lai tehnoloģiju varētu pārbaudīt mākslīgi radītā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TRL 6 – tehnoloģijas demonstrācija mākslīgi radītā vidē: sistēmas modelis vai prototips ir pārbaudīts mākslīgi radītā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TRL 7 – sistēmas prototipa demonstrācija darbības vidē: sistēmas prototips, kas atbilst vai tikai minimāli atšķiras no plānotās sistēmas, ir pārbaudīts reālā darbības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TRL 8 – sistēma ir pabeigta un pārbaudīta: ir pierādīts, ka tehnoloģija darbojas tās galīgajā formā un plānotajos apstākļos (pēdējais tehnoloģijas attīstības līmenis);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TRL 9 – sekmīga sistēmas ekspluatācija.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piešķir, lai aizsardzības un drošības industrijā ietilpstošie mikro, mazie un vidējie uzņēmumi radītu un attīstītu inovatīvus produktus, pakalpojumus un tehnoloģijas atbilstoši nacionālā un starptautiskā līmeņa aizsardzības spēju attīstības plāniem ar komercializācijas potenciālu aizsardzības vai drošības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tādiem pasākumiem kā esošu vai jaunu zinātnisko atziņu, tehnoloģisko un citu attiecīgu zināšanu un prasmju iegūšana, kombinēšana, modelēšana un izmantošana, lai izstrādātu jaunus vai uzlabotu esošus produktus, pakalpojumus vai tehnoloģijas, kā arī prototipu izgatavošanai, demonstrējumiem, pilotprojektiem, jaunu vai uzlabotu produktu, pakalpojumu vai tehnoloģiju radīšanai un testēšanai.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kā </w:t>
      </w:r>
      <w:r w:rsidR="00000000" w:rsidRPr="00000000" w:rsidDel="00000000">
        <w:rPr>
          <w:i w:val="1"/>
          <w:rtl w:val="0"/>
        </w:rPr>
        <w:t xml:space="preserve">de minimis</w:t>
      </w:r>
      <w:r w:rsidR="00000000" w:rsidRPr="00000000" w:rsidDel="00000000">
        <w:rPr>
          <w:rtl w:val="0"/>
        </w:rPr>
        <w:t xml:space="preserve"> atbalstu saskaņā ar Komisijas regulu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atbalsta saņēmējs vienlaikus darbojas vienā vai vairākās Komisijas regulas 2023/2831 1. panta 1. punkta "a", "b", "c" un "d" apakšpunktā minētajās nozarēs, atbalstu drīkst piešķirt tikai tad, ja atbalsta pretendents nodrošina šo nozaru darbību vai uzskaites nodalīšanu, lai saskaņā ar Komisijas regulas 2023/2831 1. panta 2. punktu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Aizsardzības ministrija pārbauda, vai plānotais </w:t>
      </w:r>
      <w:r w:rsidR="00000000" w:rsidRPr="00000000" w:rsidDel="00000000">
        <w:rPr>
          <w:i w:val="1"/>
          <w:rtl w:val="0"/>
        </w:rPr>
        <w:t xml:space="preserve">de minimis</w:t>
      </w:r>
      <w:r w:rsidR="00000000" w:rsidRPr="00000000" w:rsidDel="00000000">
        <w:rPr>
          <w:rtl w:val="0"/>
        </w:rPr>
        <w:t xml:space="preserve"> atbalsta apmērs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viena vienota uzņēmuma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ir atbildīgs par šo noteikumu 7. punktā minētā maksimāli pieļaujamā atbalsta apmēra ievērošanu viena vienota uzņēmuma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sniedz projektam, kas atbilst tehnoloģiju gatavības ceturtajam līdz astotajam līmenim (TRL 4–TRL 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Aizsardzības ministrija izveido Industrijas atbalsta komisiju (turpmāk – komisija), kas administrē atbalsta piešķiršanu un uzraudzību. Komisijas sastāvā ir vismaz četri locekļi. Komisijas darbā var pieaicināt neatkarīgus ekspertus. Komisijas sastāvā iekļauj:</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Investīciju un attīstības aģentūras pārstāvi.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Projektu iesniegumu konkursa izsludināšana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īsteno projektu iesniegumu konkursa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 izstrādā un apstiprina konkursa nolikumu un izsludina projektu konkursu, publicējot informāciju Aizsardzības ministrijas tīmekļvietnē. Nolikumā tiek ietverti: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vispārējie konkursa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konkursa mērķis, konkrētajā konkursā iekļautās aizsardzības spēju prioritātes un mērķgrupas;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sagatavošanas prasības;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īstenošanas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konkursam paredzētais Aizsardzības ministrijas atbalsta apmērs;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konkursā paredzētās attiecināmās izmaksas atbilstoši šo noteikumu 4. un 26. punktam;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iesniegšanas termiņi;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atlases un vērtēšanas kritēriji;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apstiprināšanas un līgumu slēgšanas un uzraudzības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konkursā iesniedzamajiem dokumentiem: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veidlapa;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izstrādes plāna veidlapa;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tāmes veidlapa;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uzskaites sistēmā (turpmāk – sistēma) sagatavotās veidlapas izdruka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(attiecināms, ja projekta iesniegumā netiek norādīts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un iesniedz projekta iesniegumu atbilstoši konkursa nolikumā noteiktajai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var iesniegt projekta iesniegumu tikai par šo noteikumu 3. un 4. punktā minēto atbalstāmo darbību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Atbalstāmā projekta īstenošanas ilgums nedrīkst pārsniegt trīs gadus.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var komisijai pieprasīt informāciju par atbalsta programmas nosacījumiem, kā arī lūgt konsultāciju par projekta iesnieguma sagatavošanu.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Projekta iesniedzējam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Atbalsta saņemšanai var pieteikties Latvijas Republikā reģistrēti uzņēmumi, kuri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iesniedzējam ir nepieciešamās zināšanas un prasmes attiecīgā attīstības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iesniedzējam ir projekta īstenošanai nepieciešamais līdzfinansējums;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ir uzskatāms par mazo vai vidējo uzņēmumu atbilstoši šo noteikumu 2.3.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 dalībnieki, kas ir juridiskas personas, ir reģistrēti Latvijas Republikā, kādā no Eiropas Savienības, Eiropas Ekonomikas zonas vai Ziemeļatlantijas līguma organizācijas dalībvalstīm, bet projekta iesniedzēja dalībnieki, kas ir fiziskas personas, ir Latvijas Republikas, Ziemeļatlantijas līguma organizācijas, Eiropas Savienības vai Eiropas Ekonomikas zonas valstu pilsoņi;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iesniedzēja dalībnieki, kas ir juridiskas personas, nav reģistrēti zemu nodokļu vai beznodokļu valstīs un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nav pasludināts projekta iesniedzēja maksātnespējas process un tas netiek likvidēts;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iesniedzējam uz dienu, kad tiek iesniegts projekta iesniegums, saskaņā ar Valsts ieņēmumu dienesta administrēto nodokļu (nodevu) parādnieku datubāzē publiski pieejamo informāciju nav nodokļu (nodevu) parāda,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iesniedzēja valdes vai padomes loceklis, pārstāvēttiesīgā persona vai prokūrists ar tiesas spriedumu, kas stājies spēkā un kļuvis nepārsūdzams, vai prokurora priekšrakstu par sodu, kas stājies spēkā, nav atzīts par vainīgu jebkurā no šādiem noziedzīgiem nodarījumiem: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neatļauta piedalīšanās mantiskos darījumos, neatļauta labumu pieņemšana, komerciāla uzpirkšana, prettiesiska labuma pieprasīšana, pieņemšana un došana, tirgošanās ar ietekmi;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terorisms, terorisma finansēšana, aicinājums uz terorismu, terorisma draudi vai personas vervēšana un apmācīšana terora aktu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Militārās izlūkošanas un drošības dienesta rīcībā nav informācijas par projekta iesniedzēja, tā valdes vai padomes locekļu, pārstāvēttiesīgo personu, prokūristu vai dalībnieku darbībām, kas ir vērstas pret Latvijas Republikas drošību, pārkāpj starptautiskajos līgumos ietvertos vai starptautisko organizāciju noteiktos ierobežojumus un sankcijas. Projekta iesniedzēja valdes vai padomes locekļi, pārstāvēttiesīgās personas vai prokūristi un dalībnieki nepieder pie aizliegtiem militarizētiem vai bruņotiem grupējumiem, aizliegtām sabiedriskām organizācijām, partijām vai to apvienībām;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nav sniedzis nepatiesu informāciju par kādu no šā punkta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nav apturēta tā saimnieciskā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uzņēmums ir saņēmis Valsts ieņēmumu dienesta nodokļa maksātāja reitinga novērtējumu "A", šo noteikumu 18.7. un 18.11. apakšpunktā minētais nosacījums netiek atsevišķi vērtēts.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piešķiršana un tā apmērs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komisija valsts informācijas sistēmās vai datubāzēs nevar iegūt informāciju, lai izvērtētu projekta iesniedzēja atbilstību šo noteikumu prasībām, tā pēc projekta iesnieguma saņemšanas pieprasa: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 reģistram – ziņas par uzņēmuma dalībniekiem (fiziskām personām un juridiskām personām), kā arī par personām, kuras ir tiesīgas pārstāvēt uzņēmumu;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Informācijas centram – ziņas par šo noteikumu 18.8. apakšpunktā minētajiem noziedzīgiem nodarījumiem;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informāciju par šo noteikumu 18.4. apakšpunktā norādīto fizisko personu valstisko piederību, ja ziņas par fizisko personu ir iekļautas Fizisko personu reģistrā.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Aizsardzības ministrija, lemjot par atbalsta piešķiršanu, ņem vērā šo noteikumu 13.2. apakšpunktā minētajos dokumentos un sistēmā pieejamo informāciju, lai izvērtētu projekta iesnieguma atbilstību šo noteikumu 6., 7. un 8. punktā minētajām prasībām. Aizsardzības ministrija ņem vērā arī atbalsta pretendenta papildus iesniegto informāciju atbalsta kumulācijas nosacījumu ievērošanai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piešķir granta veidā, pamatojoties uz līdzfinansējuma principu, saskaņā ar konkursa nolikumā noteikto kārtību. Atbalsta saņēmējs ir atbildīgs par nepieciešamā līdzfinansējuma nodrošināšanu un projekta īstenošanas turpināšanai nepieciešamajiem finanšu resursiem.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piešķir, ņemot vērā iesniegto projektu kopējā vērtējuma atbilstību konkursa nolikumā norādītajiem vērtēšanas kritērijiem un attiecīgajā gadā šim mērķim pieejamos Aizsardzības ministrijas budžeta līdzekļus. Ja nepieciešams, pamatojoties uz komisijas izvērtējumu par iesniegto projektu ietvaros pieprasīto līdzekļu kopsummas atbilstību attiecīgajā gadā šim mērķim plānotajiem Aizsardzības ministrijas budžeta līdzekļiem, Aizsardzības ministrijai ir tiesības atbalsta saņēmējiem piedāvāt atbalsta summu, kas ir mazāka par attiecīgā projekta iesniegumā sākotnēji norādīto.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Aizsardzības ministrijai ir tiesības projekta iesniedzējam piešķirt atbalsta summu, kas ir mazāka par attiecīgā projekta iesniegumā sākotnēji norādīto, lai nodrošinātu šo noteikumu 7. punktā minēto prasību ievērošanu. Šādā gadījumā projekta iesniedzējs iesniedz Aizsardzības ministrijā labotu projekta iesniegumu ar precizētu projekta kopējo izmaksu aprēķinu.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Atbalsta īpatsvars projektā ir 50 % no projekta attiecināmajām izmaksām. Atbalsta maksimālais īpatsvars var tikt palielināts līdz 75 % no projekta attiecināmajām izmaksām, ja projekta īstenošana paredz pētniecības organizāciju iesaisti vai to pētniecības darba rezultātu izmantošanu, nodrošinot tehnoloģiju pārnesi un veicinot to komercializācijas potenciālu.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attiecināmās izmaksas šo noteikumu izpratnē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 projekta iesniedzēja darbinieki, pētnieki, palīgdarbinieki, ciktāl tie nodarbināti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instrumentu un aprīkojuma izmaksas, ciktāl tos izmanto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ēku un zemes izmaksas, ciktāl un cik ilgi tās izmanto projektā. Attiecībā uz ēkām par attiecināmajām izmaksām ir uzskatāmas tikai tās amortizācijas izmaksas, kas atbilst projekta ilgumam un ir aprēķinātas saskaņā ar vispārpieņemtiem grāmatvedības principiem. Attiecībā uz zemi par attiecināmajām izmaksām ir uzskatāmas komerciālās nodošanas izmaksas vai faktiski veikto kapitālieguldījumu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materiālu, piederumu un līdzīgu produktu izmaksas, kas radušās tieši projekta īstenošanas gaitā;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maksa par līgumpētījumiem, zināšanām un patentiem, kas iegādāti vai kuru licences saņemtas no ārējiem avotiem godīgas konkurences apstākļos, kā arī konsultantu un līdzvērtīgu pakalpojumu izmaksas, kuri izmantoti vienīgi projekta mērķiem;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maksa par kredītiestādes vai akciju sabiedrības "Attīstības finanšu institūcija Altum" garantijas izsniegšanu, ja tā tiek pieprasīta saskaņā ar konkursa nolikumā noteikto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Komisijai, vērtējot projektu iesniegumus, ir tiesības pieaicināt ekspertus un jomas speciālistus.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tam kad komisija ir izvērtējusi projekta iesniegumu, tam pievienotos dokumentus un projekta iesniedzēja atbilstību konkursa nolikumā izvirzītajām prasībām, komisija sniedz priekšlikumu Aizsardzības ministrijas valsts sekretāram pieņemt vienu no šādiem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atbalsta piešķiršanu;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Aizsardzības ministrija var lemt par aizsardzības nozares speciālistu iesaisti un projekta ietvaros izstrādāta produkta (tā prototipa) testēšanai nepieciešamās Nacionālo bruņoto spēku infrastruktūras vai materiāltehnisko līdzekļu izmantošanu, lai pārliecinātos par attiecīgā produkta (tā prototipa) praktisku izmantojamību Nacionālo bruņoto spēku uzdevumu izpildē.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Aizsardzības ministrija lēmumu par atbalsta piešķiršanu vai atteikumu piešķirt atbalstu pieņem divu mēnešu laikā pēc projektu iesniegumu iesniegšanas termiņa beigām.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Aizsardzības ministrija, slēdzot rakstveida līgumu par atbalsta saņemšanu, izvērtē atbalsta pretendentu atbilstoši Komisijas regulas 2023/2831 nosacījumiem. Rakstveida līguma noslēgšana uzskatāma par atbalsta piešķiršanas brīdi saskaņā ar Komisijas regulas 2023/2831 3. panta 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administrēšana un kontrole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Aizsardzības ministrija veic piešķirtā </w:t>
      </w:r>
      <w:r w:rsidR="00000000" w:rsidRPr="00000000" w:rsidDel="00000000">
        <w:rPr>
          <w:i w:val="1"/>
          <w:rtl w:val="0"/>
        </w:rPr>
        <w:t xml:space="preserve">de minimis</w:t>
      </w:r>
      <w:r w:rsidR="00000000" w:rsidRPr="00000000" w:rsidDel="00000000">
        <w:rPr>
          <w:rtl w:val="0"/>
        </w:rPr>
        <w:t xml:space="preserve"> atbalsta uzskaiti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Atbalsta saņēmējam var paredzēt pēcuzraudzības nosacījumus, ja Aizsardzības ministrija pieņem šādu lēmumu un attiecīgie nosacījumi iekļauti granta līgumā.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tiek pārkāpti Komisijas regulas 2023/2831 nosacījumi, </w:t>
      </w:r>
      <w:r w:rsidR="00000000" w:rsidRPr="00000000" w:rsidDel="00000000">
        <w:rPr>
          <w:i w:val="1"/>
          <w:rtl w:val="0"/>
        </w:rPr>
        <w:t xml:space="preserve">de minimis</w:t>
      </w:r>
      <w:r w:rsidR="00000000" w:rsidRPr="00000000" w:rsidDel="00000000">
        <w:rPr>
          <w:rtl w:val="0"/>
        </w:rPr>
        <w:t xml:space="preserve"> atbalsta saņēmējam ir pienākums atmaksāt Aizsardzības ministrijai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saņēmējs nodrošina ar </w:t>
      </w:r>
      <w:r w:rsidR="00000000" w:rsidRPr="00000000" w:rsidDel="00000000">
        <w:rPr>
          <w:i w:val="1"/>
          <w:rtl w:val="0"/>
        </w:rPr>
        <w:t xml:space="preserve">de minimis</w:t>
      </w:r>
      <w:r w:rsidR="00000000" w:rsidRPr="00000000" w:rsidDel="00000000">
        <w:rPr>
          <w:rtl w:val="0"/>
        </w:rPr>
        <w:t xml:space="preserve"> atbalsta saņemšanu saistītās informācijas pieejamību 10 gadus, skaitot no atbalsta piešķiršanas dienas. Aizsardzības ministrija datus par </w:t>
      </w:r>
      <w:r w:rsidR="00000000" w:rsidRPr="00000000" w:rsidDel="00000000">
        <w:rPr>
          <w:i w:val="1"/>
          <w:rtl w:val="0"/>
        </w:rPr>
        <w:t xml:space="preserve">de minimis</w:t>
      </w:r>
      <w:r w:rsidR="00000000" w:rsidRPr="00000000" w:rsidDel="00000000">
        <w:rPr>
          <w:rtl w:val="0"/>
        </w:rPr>
        <w:t xml:space="preserve"> atbalstu glabā 10 gadus, skaitot no atbalsta piešķiršanas dienas, atbilstoši Komisijas regulas 2023/2831 6. panta 3. punktam. Aizsardzības ministrija sniedz informāciju Komisijai saskaņā ar Komisijas regulas 2023/2831 6. panta 7. punktu.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Saskaņā ar Komisijas regulas 2023/2831 7. panta 3. punktu un 8. pantu </w:t>
      </w:r>
      <w:r w:rsidR="00000000" w:rsidRPr="00000000" w:rsidDel="00000000">
        <w:rPr>
          <w:i w:val="1"/>
          <w:rtl w:val="0"/>
        </w:rPr>
        <w:t xml:space="preserve">de minimis</w:t>
      </w:r>
      <w:r w:rsidR="00000000" w:rsidRPr="00000000" w:rsidDel="00000000">
        <w:rPr>
          <w:rtl w:val="0"/>
        </w:rPr>
        <w:t xml:space="preserve"> atbalstu var piešķirt līdz 2031. gada 30.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24-TA-1377</w:t>
    </w:r>
    <w:r>
      <w:br/>
    </w:r>
    <w:r w:rsidR="00000000" w:rsidRPr="00000000" w:rsidDel="00000000">
      <w:rPr>
        <w:rtl w:val="0"/>
      </w:rPr>
      <w:t xml:space="preserve">Izdrukāts 29.07.2026. 23.34 - 7.0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24-TA-1377</w:t>
    </w:r>
    <w:r>
      <w:br/>
    </w:r>
    <w:r w:rsidR="00000000" w:rsidRPr="00000000" w:rsidDel="00000000">
      <w:rPr>
        <w:rtl w:val="0"/>
      </w:rPr>
      <w:t xml:space="preserve">Izdrukāts 29.07.2026. 23.34 - 7.0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noteikumu_projekts_24-TA-1377.docx</dc:title>
</cp:coreProperties>
</file>

<file path=docProps/custom.xml><?xml version="1.0" encoding="utf-8"?>
<Properties xmlns="http://schemas.openxmlformats.org/officeDocument/2006/custom-properties" xmlns:vt="http://schemas.openxmlformats.org/officeDocument/2006/docPropsVTypes"/>
</file>