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1.1.1.1. pasākumu "Zinātnes politikas ieviešana, vadība un kapacitātes stiprināšana"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pētniecības un attīstības pārvaldības un analītisko kapacitāti, lai nodrošinātu Viedās specializācijas stratēģijas vadību un efektīvu ieviešanas monitoringu, tostarp stiprinot reģionālo dimensiju, starptautisko sadarbību un pārstāvniecību, kā arī stratēģisko komunikāciju, tai skaitā ar ieinteresētajām pusēm un plašāku sabiedrību.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14 398 945 </w:t>
      </w:r>
      <w:r w:rsidR="00000000" w:rsidRPr="00000000" w:rsidDel="00000000">
        <w:rPr>
          <w:i w:val="1"/>
          <w:rtl w:val="0"/>
        </w:rPr>
        <w:t xml:space="preserve">euro</w:t>
      </w:r>
      <w:r w:rsidR="00000000" w:rsidRPr="00000000" w:rsidDel="00000000">
        <w:rPr>
          <w:rtl w:val="0"/>
        </w:rPr>
        <w:t xml:space="preserve"> (tai skaitā elastības finansējums – 2 271 077 </w:t>
      </w:r>
      <w:r w:rsidR="00000000" w:rsidRPr="00000000" w:rsidDel="00000000">
        <w:rPr>
          <w:i w:val="1"/>
          <w:rtl w:val="0"/>
        </w:rPr>
        <w:t xml:space="preserve">euro</w:t>
      </w:r>
      <w:r w:rsidR="00000000" w:rsidRPr="00000000" w:rsidDel="00000000">
        <w:rPr>
          <w:rtl w:val="0"/>
        </w:rPr>
        <w:t xml:space="preserve">), tai skaitā ERAF finansējums 12 239 103 </w:t>
      </w:r>
      <w:r w:rsidR="00000000" w:rsidRPr="00000000" w:rsidDel="00000000">
        <w:rPr>
          <w:i w:val="1"/>
          <w:rtl w:val="0"/>
        </w:rPr>
        <w:t xml:space="preserve">euro</w:t>
      </w:r>
      <w:r w:rsidR="00000000" w:rsidRPr="00000000" w:rsidDel="00000000">
        <w:rPr>
          <w:rtl w:val="0"/>
        </w:rPr>
        <w:t xml:space="preserve"> (tai skaitā elastības finansējums – 1 930 416</w:t>
      </w:r>
      <w:r w:rsidR="00000000" w:rsidRPr="00000000" w:rsidDel="00000000">
        <w:rPr>
          <w:i w:val="1"/>
          <w:rtl w:val="0"/>
        </w:rPr>
        <w:t xml:space="preserve"> euro</w:t>
      </w:r>
      <w:r w:rsidR="00000000" w:rsidRPr="00000000" w:rsidDel="00000000">
        <w:rPr>
          <w:rtl w:val="0"/>
        </w:rPr>
        <w:t xml:space="preserve">) un valsts budžeta līdzfinansējums – 2 159 842 </w:t>
      </w:r>
      <w:r w:rsidR="00000000" w:rsidRPr="00000000" w:rsidDel="00000000">
        <w:rPr>
          <w:i w:val="1"/>
          <w:rtl w:val="0"/>
        </w:rPr>
        <w:t xml:space="preserve">euro</w:t>
      </w:r>
      <w:r w:rsidR="00000000" w:rsidRPr="00000000" w:rsidDel="00000000">
        <w:rPr>
          <w:rtl w:val="0"/>
        </w:rPr>
        <w:t xml:space="preserve"> (tai skaitā elastības finansējums – 340 661 </w:t>
      </w:r>
      <w:r w:rsidR="00000000" w:rsidRPr="00000000" w:rsidDel="00000000">
        <w:rPr>
          <w:i w:val="1"/>
          <w:rtl w:val="0"/>
        </w:rPr>
        <w:t xml:space="preserve">euro</w:t>
      </w:r>
      <w:r w:rsidR="00000000" w:rsidRPr="00000000" w:rsidDel="00000000">
        <w:rPr>
          <w:rtl w:val="0"/>
        </w:rPr>
        <w:t xml:space="preserve">). Maksimālais attiecināmā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pasākuma īstenošanai kopējo pieejamo finansējumu plāno ne vairāk kā 12 127 868</w:t>
      </w:r>
      <w:r w:rsidR="00000000" w:rsidRPr="00000000" w:rsidDel="00000000">
        <w:rPr>
          <w:i w:val="1"/>
          <w:rtl w:val="0"/>
        </w:rPr>
        <w:t xml:space="preserve"> euro</w:t>
      </w:r>
      <w:r w:rsidR="00000000" w:rsidRPr="00000000" w:rsidDel="00000000">
        <w:rPr>
          <w:rtl w:val="0"/>
        </w:rPr>
        <w:t xml:space="preserve"> apmērā, tai skaitā ERAF finansējumu – 10 308 687</w:t>
      </w:r>
      <w:r w:rsidR="00000000" w:rsidRPr="00000000" w:rsidDel="00000000">
        <w:rPr>
          <w:i w:val="1"/>
          <w:rtl w:val="0"/>
        </w:rPr>
        <w:t xml:space="preserve"> euro</w:t>
      </w:r>
      <w:r w:rsidR="00000000" w:rsidRPr="00000000" w:rsidDel="00000000">
        <w:rPr>
          <w:rtl w:val="0"/>
        </w:rPr>
        <w:t xml:space="preserve"> apmērā un valsts budžeta līdzfinansējumu – 1 819 181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Projekta iesnieguma iesniegšanu izsludina vienu reizi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līdzdalības monitoringa ziņojuma sagatavošana, ietverot Eiropas Pētniecības telpas dimensijas, kas saistošas Latvijas pētniecības telpai, – izstrādāts viens ziņojums līdz 2029. gada 30.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Pētniecības telpas aktivitāšu skaits, kurās piedalās Latvijas institūcijas, – vismaz piecas aktivitātes līdz 2029. gada 30.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Latvijas zinātnisko institūciju aptauja par informētības līmeni saistībā ar Eiropas Pētniecības telpas politikas programmu un tās ietvaros plānotajām aktivitātēm – viena aptauja līdz 2027. gada 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nodrošināta Latvijas pētniecības un attīstības interešu pārstāvniecība – Eiropas Savienības pētniecības un inovācijas pamatprogrammas "Apvārsnis Eiropa" (turpmāk – programma "Apvārsnis Eiropa") programmkomitejās – 14 programmkomitejās;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2025. gada 1. janvārim izveidota starpinstitucionāla darba grupa mērķtiecīgai sadarbībai un koordinācijai nacionālā līmenī starptautiskās sadarbības paplašināšanai – viena darba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nodrošināta Viedās specializācijas stratēģijas un tās ietvaros definēto specializācijas jomu padziļināta analīze, tai skaitā Viedās specializācijas stratēģijas monitoringa ziņojumu sadaļas sagatavošana par zinātni un pētniecību, ņemot vērā atbildības sadalījumu Latvijas Viedās specializācijas stratēģijas  monitoringa ziņojumu izstrādē starp Izglītības un zinātnes ministriju un Ekonomikas ministriju, 2025. gadā un 2027. gadā – sagatavoti divi monitoringa ziņojumi;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nodrošināts Latvijas zinātnes portāla </w:t>
      </w:r>
      <w:r w:rsidR="00000000" w:rsidRPr="00000000" w:rsidDel="00000000">
        <w:rPr>
          <w:rtl w:val="0"/>
        </w:rPr>
        <w:t xml:space="preserve">https://researchLatvia.gov.lv</w:t>
      </w:r>
      <w:r w:rsidR="00000000" w:rsidRPr="00000000" w:rsidDel="00000000">
        <w:rPr>
          <w:rtl w:val="0"/>
        </w:rPr>
        <w:t xml:space="preserve"> lietotāju skaita procentuālais pieaugums gadā – 20 procenti salīdzinājumā ar iepriekšējo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iekļauti Latvijas zinātnes portālā </w:t>
      </w:r>
      <w:r w:rsidR="00000000" w:rsidRPr="00000000" w:rsidDel="00000000">
        <w:rPr>
          <w:rtl w:val="0"/>
        </w:rPr>
        <w:t xml:space="preserve">https://researchLatvia.gov.lv</w:t>
      </w:r>
      <w:r w:rsidR="00000000" w:rsidRPr="00000000" w:rsidDel="00000000">
        <w:rPr>
          <w:rtl w:val="0"/>
        </w:rPr>
        <w:t xml:space="preserve"> unikālu ārvalstīs pastāvīgi dzīvojošu un strādājošu Latvijas izcelsmes zinātnieku profili diasporas zinātnieku datubāzē – vismaz 50 zinātnieku profili 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paplašināts Latvijas kosmosa nozares portāla </w:t>
      </w:r>
      <w:r w:rsidR="00000000" w:rsidRPr="00000000" w:rsidDel="00000000">
        <w:rPr>
          <w:rtl w:val="0"/>
        </w:rPr>
        <w:t xml:space="preserve">https://latviaspace.gov.lv</w:t>
      </w:r>
      <w:r w:rsidR="00000000" w:rsidRPr="00000000" w:rsidDel="00000000">
        <w:rPr>
          <w:rtl w:val="0"/>
        </w:rPr>
        <w:t xml:space="preserve"> saturs un pilnveidota tā funkcionalitāte, nodrošinot portāla lietotāju skaita pieaugumu 2027. gadā vismaz par 50 procentiem salīdzinājumā ar lietotāju skaitu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nodrošināta Pasaules Latviešu zinātnieku kongresa norise Latvijā 2028. gadā – 1 kongress;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nodrošināts Pasaules Latviešu zinātnieku kongresa Latvijā 2028. gadā kopējais dalībnieku skaita pieaugums – vismaz par 20 procentiem vairāk dalībnieku nekā Pasaules Latviešu zinātnieku kongresā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nodrošināts Pasaules Latviešu zinātnieku kongresa Latvijā 2028. gadā ārvalstu dalībnieku skaita pieaugums – vismaz par 20 procentiem vairāk dalībnieku nekā Pasaules Latviešu zinātnieku kongresā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nodrošināta vienota starptautiska zinātniska ekspertīze, tai skaitā projektu iesniegumu atlases ekspertīze, projekta īstenošanas vidusposma rezultātu kvalitātes ekspertīze, projekta īstenošanas gala rezultātu kvalitātes ekspertīze un ārpuskārtas zinātniskā ekspertīze Eiropas Savienības Kohēzijas politikas programmas 2021.–2027. gadam projektiem – vismaz četrām investīciju programmām.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pasākumā ir Izglītības un zinātnes ministrija,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iesniedzējs pielikumā pievieno rīcības plānu par starpinstitucionālās, starptautiskās un starpsektoru sadarbības stiprināšanu, lai attīstītu pētniecības kapacitāti un stiprinātu Latvijas līdzdalību Eiropas Pētniecības telpā. Rīcības plāns ietver veicamo darbību aprakstu Eiropas Savienības kohēzijas politikas programmas 2021.–2027. gadam plānošanas perioda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ietvaros, tādējādi veidojot sinerģiju ar abu pasākumu plānotajām darbībām. Minētais plāns tiek īstenots līdz projekta noslēgumam.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Latvijas Zinātnes padomi (turpmāk – sadarbības partneris). Finansējuma saņēmējs sadarbības partneri iesaista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ar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 Līgumā paredz pušu tiesības, pienākumus un atbildību un iekļauj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minēto atbalstāmo darbību īstenošanai un tiešo attiecināmo personāla atlīdzības izmaksu un pārējo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pārskatu un citas informācijas aprites un glabāšanas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dalība Eiropas Pētniecības telpā, tai skaitā Eiropas Pētniecības telpas darba grupās un prioritātēs atbilstoši tās politikas programmai, Eiropas Pētniecības telpas monitoringa ziņojuma izstrāde, kā arī līdzdalība Eiropas Savienības jaunās Eiropas Pētniecības telpas politikas programmas izstrādē un ieviešanā, Eiropas Savienības un nacionālo Eiropas Pētniecības telpas pasākumu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pētniecības un attīstības interešu pārstāvniecības stiprināšana programmas "Apvārsnis Eiropa" un Eiropas Savienības pētniecības un inovācijas 10. Ietvara programmā, kā arī citās starptautiskajās programmās un partnerībās;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Latvijas Viedās specializācijas stratēģijas  monitoringa ziņojumu izstrādē starp Izglītības un zinātnes ministriju kā nozares ministriju un Ekonomikas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zinātnes stratēģiskās komunikācijas īstenošana, tai skaitā, bet ne tikai informācijas un komunikācijas platformas </w:t>
      </w:r>
      <w:r w:rsidR="00000000" w:rsidRPr="00000000" w:rsidDel="00000000">
        <w:rPr>
          <w:rtl w:val="0"/>
        </w:rPr>
        <w:t xml:space="preserve">https://researchLatvia.gov.lv</w:t>
      </w:r>
      <w:r w:rsidR="00000000" w:rsidRPr="00000000" w:rsidDel="00000000">
        <w:rPr>
          <w:rtl w:val="0"/>
        </w:rPr>
        <w:t xml:space="preserve"> un </w:t>
      </w:r>
      <w:r w:rsidR="00000000" w:rsidRPr="00000000" w:rsidDel="00000000">
        <w:rPr>
          <w:rtl w:val="0"/>
        </w:rPr>
        <w:t xml:space="preserve">https://latviaspace.gov.lv</w:t>
      </w:r>
      <w:r w:rsidR="00000000" w:rsidRPr="00000000" w:rsidDel="00000000">
        <w:rPr>
          <w:rtl w:val="0"/>
        </w:rPr>
        <w:t xml:space="preserve"> attīstīšana un funkcionalitātes paplašināšana, sadarbības ar diasporu stiprināšana un Pasaules Latviešu zinātnieku kongresa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zinātnisko institūciju starptautiskā izvērtējuma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projekta īstenošanas personāla kapacitātes stiprināšana, lai nodrošinātu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w:t>
      </w:r>
      <w:r w:rsidR="00000000" w:rsidRPr="00000000" w:rsidDel="00000000">
        <w:rPr>
          <w:rtl w:val="0"/>
        </w:rPr>
        <w:t xml:space="preserve"> minēto darbību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kohēzijas politikas programmas 2021.–2027. gadam projektu zinātniskās kvalitātes starptautiskas novērtēšanas nodrošināšana, piesaistot zinātnisko ekspertu datubāzēs iekļautus ekspertus;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izmaksas, kas saistītas ar  projekta darbību īstenošanai un projekta rezultātu sasniegšanai atbilstošu apstākļu nodrošināšanu.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minētās tiešās attiecināmās personāla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15.8.</w:t>
      </w:r>
      <w:r w:rsidR="00000000" w:rsidRPr="00000000" w:rsidDel="00000000">
        <w:rPr>
          <w:rtl w:val="0"/>
        </w:rPr>
        <w:t xml:space="preserve"> 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sadarbības partnera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ja personāla iesaiste projektā ir nodrošināta saskaņā ar daļlaika attiecināmības principu, attiecināma ir mazāka nekā 30 procentu noslodze, atlīdzības izmaksās iekļaujot tikai darbinieka algu bez normatīvajos aktos noteiktajām piemaksām un sociālo garantiju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piesaistīto ārvalstu ekspertu izmaksas atbilstoši sniegtajam pakalpojumam par vienu vai vairākām šo noteikumu </w:t>
      </w:r>
      <w:r w:rsidR="00000000" w:rsidRPr="00000000" w:rsidDel="00000000">
        <w:rPr>
          <w:rtl w:val="0"/>
        </w:rPr>
        <w:t xml:space="preserve">10.13.</w:t>
      </w:r>
      <w:r w:rsidR="00000000" w:rsidRPr="00000000" w:rsidDel="00000000">
        <w:rPr>
          <w:rtl w:val="0"/>
        </w:rPr>
        <w:t xml:space="preserve"> apakšpunktā</w:t>
      </w:r>
      <w:r w:rsidR="00000000" w:rsidRPr="00000000" w:rsidDel="00000000">
        <w:rPr>
          <w:rtl w:val="0"/>
        </w:rPr>
        <w:t xml:space="preserve"> norādītajām ekspertīzēm, par ko atbilstoši noslēgts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minētās pārējās izmaksas plāno kā vienu izmaksu pozīciju, piemērojot vienoto likmi 40 procentu apmērā no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 Pārējās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veselības pārbaužu izmaksas finansējuma saņēmēja un sadarbības partnera projekta vadības un īstenošanas personālam, ja tās netiek segtas no veselības apdrošināšanas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vai gadījumā,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finansējuma saņēmējam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un sadarbības partnerim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minēto atbalstāmo darbību nodrošināšanai finansējuma saņēmēja un sadarbības partnera projekta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ārvalstu komandējumu izmaksas atbilstoši normatīvajiem aktiem, kas nosaka kārtību, kādā atlīdzināmi ar komandējumiem saistītie izdevumi, projekta vadītājam un projekta īstenošanas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minēto atbalstāmo darbību īstenošanai un sadarbības partnera ārvalstu komandējumu izmaksas atbilstoši normatīvajiem aktiem, kas nosaka kārtību, kādā atlīdzināmi ar komandējumiem saistītie izdevumi, projekta īstenošanas personālam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saņēmēja un sadarbības partnera ārvalstu komandējumu izmaksas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transporta pakalpojumu izmaksas (maksa par degvielu)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un sadarbības partnera transporta pakalpojumu izmaksas (maksa par degvielu)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transportlīdzekļu noma un transporta pakalpojumu pirkšanas izmaksas finansējuma saņēmēja projekta īstenošanas un vadības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saņēmējam un sadarbības partnerim pakalpojumu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minēto darbību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semināru, diskusiju, konferenču un mācību organizēšanu un īstenošanu saistītās izmaksas finansējuma saņēmējam, tai skaitā telpu īre, ja aktivitāšu īstenošanai nepieciešams īrēt telpas ārpus finansējuma saņēmēja vai sadarbības partnera juridiskās adreses, un izdales materiālu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15.9.</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apakšpunktā minētajiem nosacījumiem, ja vien tas nav atgūstams saskaņā ar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finansējuma saņēmējam izmaksas ir attiecināmas no 2023. gada 1. decembra, ja tās atbilst šajos noteikumos minētajām izmaksu pozīcijām. Projekta iesniegumā neiekļauj un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partneris nodrošinās ārvalstu ekspertīžu datubāzēs iekļauto ekspertu atlasi atbilstoši Latvijas Zinātnes padomes apstiprinātajiem iekšējiem noteikumiem "Latvijas Zinātnes padomes vadlīnijas un pamatprincipi zinātnisko ekspertu atlasei zinātnisko pētījumu projektu pieteikumu konkursiem" un komunikāciju ar ārvalstu ekspertiem par projektu zinātniskās kvalitātes starptautisko novērtēšanu.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kas noslēgta starp finansējuma saņēmēju un sadarbības iestādi,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Publiskos iepirkumus finansējuma saņēmējs un sadarbības partneris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kuras sastāvā iekļauj Izglītības un zinātnes ministrijas, Latvijas Zinātnes padomes, Ekonomikas ministrijas un Latvijas Investīciju un attīstības aģentūras pārstāvjus. Projekta uzraudzības padomes sastāvā novērotāju statusā var iekļaut pārstāvjus arī no citām institūcijām, tai skaitā no sadarbības iestādes.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rādītāju sasniegtajām vērtībām, par veiktajiem un nepieciešamajiem uzlabojumiem starpinstitucionālās, starptautiskās un starpsektoru sadarbības stiprināšanai pētniecības kapacitātes attīstībai, tostarp stiprinot Latvijas līdzdalību Eiropas Pētniecības telpā,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26-TA-233</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26-TA-233</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noteikumu_konsolidētā_versija_26-TA-233.docx</dc:title>
</cp:coreProperties>
</file>

<file path=docProps/custom.xml><?xml version="1.0" encoding="utf-8"?>
<Properties xmlns="http://schemas.openxmlformats.org/officeDocument/2006/custom-properties" xmlns:vt="http://schemas.openxmlformats.org/officeDocument/2006/docPropsVTypes"/>
</file>