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Vārda, uzvārda un tautības ieraksta maiņas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Vārda, uzvārda un tautības ieraksta maiņas likumā (Latvijas Republikas Saeimas un Ministru Kabineta Ziņotājs, 2009, 10. nr.; Latvijas Vēstnesis, 2010, 183. nr.; 2013, 188. nr.; 2015, 29. nr.; 2016, 189. nr.; 2021, 139.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4. 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5. panta pirmajā daļā vārdus "vai Latvijas Republikas diplomātiskajā vai konsulārajā pārstāvniecībā".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6. panta pirmajā daļā vārdus "vai Latvijas Republikas diplomātiskajā vai konsulārajā pārstāvniecībā".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6. panta otrās daļas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6. panta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noteiktās lībiešu (līvu) organizācijas atzinumu par personas etnisko izcelsmi, ja persona vēlas pašreizējo tautības ierakstu mainīt pret tautības ierakstu "lībietis (līvs)" un ja ar dokumentiem, kas pierāda personas radniecību ar tiešajiem augšupējiem radiniekiem, etnisko izcelsmi nav iespējams pierādīt;".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8. panta pirmās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izcieš sodu brīvības atņemšanas iestādē;".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24-TA-924</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24-TA-924</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likumprojekts_(grozījumi)_24-TA-924.docx</dc:title>
</cp:coreProperties>
</file>

<file path=docProps/custom.xml><?xml version="1.0" encoding="utf-8"?>
<Properties xmlns="http://schemas.openxmlformats.org/officeDocument/2006/custom-properties" xmlns:vt="http://schemas.openxmlformats.org/officeDocument/2006/docPropsVTypes"/>
</file>