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28. janvārī (prot. Nr. 4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23. maija noteikumos Nr. 264 "Noteikumi par Profesiju klasifikatoru, profesijai atbilstošiem pamatuzdevumiem un kvalifikācijas pamatprasībām"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Darba likuma</w:t>
      </w:r>
      <w:r w:rsidR="00000000" w:rsidRPr="00000000" w:rsidDel="00000000">
        <w:rPr>
          <w:rStyle w:val="paragraph"/>
          <w:i w:val="1"/>
          <w:rtl w:val="0"/>
        </w:rPr>
        <w:t xml:space="preserve"> 40. panta septīto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21. panta 1.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264 "Noteikumi par Profesiju klasifikatoru, profesijai atbilstošiem pamatuzdevumiem un kvalifikācijas pamatprasībām" (Latvijas Vēstnesis, 2017, 104. nr.; 2018, 49. nr.; 2019, 32., 114. nr.; 2020, 61. nr.; 2021, 27. nr.; 2022, 69. nr.; 2023, 238. nr.; 2024, 158.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U. Augulis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24-TA-2240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24-TA-2240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noteikumu_(grozījumu)_projekts_24-TA-2240.docx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