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239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5. maijā (prot. Nr. 25 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28. novembra noteikumos Nr. 690 "Eiropas Savienības kohēzijas politikas programmas 2021.–2027. gadam 1.1.1. specifiskā atbalsta mērķa "Pētniecības un inovāciju kapacitātes stiprināšana un progresīvu tehnoloģiju ieviešana  kopējā P&amp;A sistēmā" 1.1.1.1. pasākuma "Zinātnes politikas ieviešana, vadība un kapacitātes stiprināšana"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28. novembra noteikumos Nr. 690 "Eiropas Savienības kohēzijas politikas programmas 2021.–2027. gadam 1.1.1. specifiskā atbalsta mērķa "Pētniecības un inovāciju kapacitātes stiprināšana un progresīvu tehnoloģiju ieviešana  kopējā P&amp;A sistēmā" 1.1.1.1. pasākuma "Zinātnes politikas ieviešana, vadība un kapacitātes stiprināšana" īstenošanas noteikumi" (Latvijas Vēstnesis, 2023, 231.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Finansējuma saņēmējs projektu īsteno sadarbībā ar Latvijas Zinātnes padomi (turpmāk – sadarbības partneris). Finansējuma saņēmējs sadarbības partneri iesaista šo noteikumu 15.1., 15.4. un 15.7. apakšpunktā minēto atbalstāmo darbību īstenošanā."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 projekta vadības personāla izmaksas (izņemot virsstundas) šo noteikumu 15.6., 15.8. un 15.9. apakšpunktā minēto atbalstāmo darbību īstenošanai, paredzot projekta vadības personāla izmaksu ierobežojumu līdz 84 787 </w:t>
      </w:r>
      <w:r w:rsidR="00000000" w:rsidRPr="00000000" w:rsidDel="00000000">
        <w:rPr>
          <w:i w:val="1"/>
          <w:rtl w:val="0"/>
        </w:rPr>
        <w:t xml:space="preserve">euro</w:t>
      </w:r>
      <w:r w:rsidR="00000000" w:rsidRPr="00000000" w:rsidDel="00000000">
        <w:rPr>
          <w:rtl w:val="0"/>
        </w:rPr>
        <w:t xml:space="preserve"> kalendāra gadā. Ja personāla iesaiste projektā ir nodrošināta saskaņā ar daļlaika attiecināmības principu, attiecināma ir ne mazāka kā 30 procentu noslodze;".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 projekta īstenošanas personāla izmaksas (izņemot virsstundas) šo noteikumu 15.1., 15.2., 15.3., 15.4., 15.5., 15.6. un 15.8. apakšpunktā minēto atbalstāmo darbību īstenošanai. Ja personāla iesaiste projektā ir nodrošināta saskaņā ar daļlaika attiecināmības principu, attiecināma ir ne mazāka kā 30 procentu noslodze;".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 projekta sadarbības partnera personāla izmaksas (izņemot virsstundas) šo noteikumu 15.1., 15.4. un 15.7. apakšpunktā minēto atbalstāmo darbību īstenošanai: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17.3.1. projekta īstenošanas personāla izmaksas, ja personāla iesaiste projektā ir nodrošināta saskaņā ar daļlaika attiecināmības principu, attiecināma ir ne mazāka kā 30 procentu noslodze;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17.3.2. projekta īstenošanas personāla izmaksas, ja personāla iesaiste projektā ir nodrošināta saskaņā ar daļlaika attiecināmības principu, attiecināma ir mazāka nekā 30 procentu noslodze, atlīdzības izmaksās iekļaujot tikai darbinieka algu bez normatīvajos aktos noteiktajām piemaksām un sociālo garantiju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17.3.3. sadarbības partnera piesaistīto ārvalstu ekspertu izmaksas atbilstoši sniegtajam pakalpojumam par vienu vai vairākām šo noteikumu 10.13. apakšpunktā norādītajām ekspertīzēm, par ko atbilstoši noslēgts pakalpojuma līgums."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18.3.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"18.3. iekšzemes komandējumu un dienesta braucienu izmaksas finansējuma saņēmējam šo noteikumu 15.1., 15.2., 15.3., 15.4., 15.5. un 15.6. apakšpunktā un sadarbības partnerim šo noteikumu 15.1. un 15.4. apakšpunktā minēto atbalstāmo darbību nodrošināšanai finansējuma saņēmēja un sadarbības partnera projekta vadības un īstenošanas personālam;".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18.4.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"18.4. finansējuma saņēmēja ārvalstu komandējumu izmaksas atbilstoši normatīvajiem aktiem, kas nosaka kārtību, kādā atlīdzināmi ar komandējumiem saistītie izdevumi, projekta vadītājam un projekta īstenošanas personālam šo noteikumu 15.1., 15.2., 15.3., 15.4., 15.5. un 15.6. apakšpunktā minēto atbalstāmo darbību īstenošanai un sadarbības partnera ārvalstu komandējumu izmaksas atbilstoši normatīvajiem aktiem, kas nosaka kārtību, kādā atlīdzināmi ar komandējumiem saistītie izdevumi, projekta īstenošanas personālam šo noteikumu 15.1. apakšpunktā minētās atbalstāmās darbības īstenošanai, ja finansējuma saņēmēja un sadarbības partnera ārvalstu komandējumu izmaksas ir skaidri saistāmas ar projekta rezultāta sasniegšanu;".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18.5.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"18.5. finansējuma saņēmēja transporta pakalpojumu izmaksas (maksa par degvielu) šo noteikumu 15.1., 15.2., 15.3., 15.4., 15.5. un 15.6. apakšpunktā un sadarbības partnera transporta pakalpojumu izmaksas (maksa par degvielu) šo noteikumu 15.1. un 15.4. apakšpunktā minēto atbalstāmo darbību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Finansējuma saņēmējs informāciju par projekta īstenošanas gaitu savā tīmekļvietnē aktualizē, tiklīdz tā pieejama."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Finansējuma saņēmējs un sadarbības partneris nodrošina interešu konflikta neesību saskaņā ar Eiropas Parlamenta un Padomes 2024. gada 23. septembra Regulas (ES, Euratom) 2024/2509 par finanšu noteikumiem, ko piemēro Savienības vispārējam budžetam (pārstrādāta redakcija), 61. panta prasībām un normatīvajiem aktiem publisko iepirkumu jomā, kā arī paraksta interešu konflikta neesības apliecinājumu."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Melbārde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26-TA-233</w:t>
    </w:r>
    <w:r>
      <w:br/>
    </w:r>
    <w:r w:rsidR="00000000" w:rsidRPr="00000000" w:rsidDel="00000000">
      <w:rPr>
        <w:rtl w:val="0"/>
      </w:rPr>
      <w:t xml:space="preserve">Izdrukāts 29.07.2026. 23.38 - 1.0.VK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26-TA-233</w:t>
    </w:r>
    <w:r>
      <w:br/>
    </w:r>
    <w:r w:rsidR="00000000" w:rsidRPr="00000000" w:rsidDel="00000000">
      <w:rPr>
        <w:rtl w:val="0"/>
      </w:rPr>
      <w:t xml:space="preserve">Izdrukāts 29.07.2026. 23.38 - 1.0.VK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noteikumu_(grozījumu)_projekts_26-TA-233.docx</dc:title>
</cp:coreProperties>
</file>

<file path=docProps/custom.xml><?xml version="1.0" encoding="utf-8"?>
<Properties xmlns="http://schemas.openxmlformats.org/officeDocument/2006/custom-properties" xmlns:vt="http://schemas.openxmlformats.org/officeDocument/2006/docPropsVTypes"/>
</file>