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Papildu nosacījumi pretendentiem, kas pārstāv plašsaziņas līdzekļus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Papildu nosacījumi pretendentiem, kas pārstāv plašsaziņas līdzekļus</w:t>
      </w:r>
      <w:r w:rsidR="00000000" w:rsidRPr="00000000" w:rsidDel="00000000">
        <w:rPr>
          <w:vertAlign w:val="superscript"/>
          <w:rtl w:val="0"/>
        </w:rPr>
        <w:t xml:space="preserve">1</w:t>
      </w:r>
      <w:r w:rsidR="00000000" w:rsidRPr="00000000" w:rsidDel="00000000">
        <w:rPr>
          <w:rtl w:val="0"/>
        </w:rPr>
        <w:t xml:space="preserve">, konkursā par sabiedrības un meža īpašnieku informēšanu un izglītošanu periodiskajos preses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Latvijas Republikā reģistrēts, konkrētai mērķauditorijai paredzēts noteikta satura periodisks preses (laikraksts vai žurnāls) izdevums (turpmāk – periodisks izdevums), kas iznāk ne mazāk kā 10 reižu gadā un kura katra tirāža 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nacionālā līmeņa periodiskajiem izdevumiem – 10 000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nacionālā līmeņa periodiskajiem izdevumiem uzņēmējdarbības jomā – 5000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specializētajiem meža nozares periodiskajiem izdevumiem – 1000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 reģionālajiem preses periodiskajiem izdevumiem – 2000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iesniedzējs var būt komersants, biedrība vai nodibinājums – izdevējs vai īpašnieks periodiskajam izdevumam, kas reģistrēts Uzņēmumu reģistra masu informācijas līdzekļu reģistrā. Ja iesniedzējs nav periodiskā izdevuma izdevējs vai īpašnieks, iesniedzējs pievieno</w:t>
      </w:r>
      <w:r w:rsidR="00000000" w:rsidRPr="00000000" w:rsidDel="00000000">
        <w:rPr>
          <w:i w:val="1"/>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Apliecinājuma vēstule ir jāparaksta personai ar pārstāvības tiesībām vai pilnvarotajai personai un jāpievieno pilnvaras oriģināls vai apliecināta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Papildu nosacījumi pretendentiem, kas pārstāv plašsaziņas līdzekļus</w:t>
      </w:r>
      <w:r w:rsidR="00000000" w:rsidRPr="00000000" w:rsidDel="00000000">
        <w:rPr>
          <w:vertAlign w:val="superscript"/>
          <w:rtl w:val="0"/>
        </w:rPr>
        <w:t xml:space="preserve">2</w:t>
      </w:r>
      <w:r w:rsidR="00000000" w:rsidRPr="00000000" w:rsidDel="00000000">
        <w:rPr>
          <w:rtl w:val="0"/>
        </w:rPr>
        <w:t xml:space="preserve">, konkursā par sabiedrības un meža īpašnieku informēšanu un izglītošanu, veidojot raidījumus radio vai televīzijā vai publikācijas (tīmekļvietnēs):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Raidījumiem televīzijā vai radio ir jāatbilst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vismaz 25 % no katra raidījuma raidlaika ir veltīts atbilstošai tematikai;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viena raidījuma raidlaika ilgums ir vismaz 20 minūšu (neskaitot reklāmas pauzes) vai raidījumi tiek veidoti kā vismaz 60 sekunžu ilgas meža nozares aktuālo tematu rubrikas;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raidījums tiek pārraidīts bezmaksas virszemes apraidē, un pēc tā pārraidīšanas ir pieejams bez maksas arī tīmekļvietnē (-ēs) vismaz vienu gadu pēc projekta īstenošanas laika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 raidījuma prognozētā auditorija sasniedz vismaz 40 000 skatītāju (klausītāju) vienam raidījumam, un ir pieejami (var tikt uzrādīti)  auditorijas mērījuma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Publikācijām tīmekļvietnēs ir jāatbilst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tīmekļvietnes unikālo apmeklētāju skaits ir ne mazāk kā 700 000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publikācijas tīmekļvietnē ir pieejamas bez maksas vismaz vienu gadu pēc projekta īstenošanas laika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iesniedzējs var 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raidījumiem televīzijā: komersants, biedrība vai nodibinājums – Nacionālās elektronisko plašsaziņas līdzekļu padomes (turpmāk – NEPLP) reģistrā reģistrēta raidorganizācija (turpmāk – raidorganizācija), kurai ir apraides atļauja un pārraides tiesības bezmaksas virszemes apraidē (televīzijai). Ja iesniedzējs nav raidorganizācija, tas pievieno apliecinājuma vēstuli no raidorganizācijas par sadarbību projekta īstenošanā un televīzijas raidījuma pārraidīšanu raidorganizācijas programmā (kanālā);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 raidījumiem radio: komersants, biedrība vai nodibinājums – NEPLP reģistrā reģistrēta raidorganizācija, kurai ir apraides atļauja. Ja iesniedzējs nav raidorganizācija, tas pievieno apliecinājuma vēstuli no raidorganizācijas par sadarbību projekta īstenošanā un raidījuma pārraidīšanu raidorganizācijas programmā (kanālā);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 publikācijām tīmekļvietnēs: komersants, biedrība vai nodibinājums – īpašnieks Latvijas tīmekļvietnei, kurā tiek informēta sabiedrība. Ja iesniedzējs nav īpašnieks tīmekļvietnei, kurā tiek informēta sabiedrība, iesniedzējs pievieno apliecinājuma vēstuli no tā par sadarbību projekta īstenošanā un attiecīgo publikāciju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NACE 58.14, 63.12, 59.11, 60.10, 60.20, 58.13, 73.11.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NACE 58.14, 63.12, 59.11, 60.10, 60.20, 58.13, 73.11.</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noteikumu_konsolidētā_versija_p5_24-TA-86.docx</dc:title>
</cp:coreProperties>
</file>

<file path=docProps/custom.xml><?xml version="1.0" encoding="utf-8"?>
<Properties xmlns="http://schemas.openxmlformats.org/officeDocument/2006/custom-properties" xmlns:vt="http://schemas.openxmlformats.org/officeDocument/2006/docPropsVTypes"/>
</file>