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siltuma maksas sadalītājiem dzīvokļos, nedzīvojamās telpās vai mākslinieka darbnīcās un karstā ūdens cirkulāciju pieņem kā konstantu vērtību un sadala atbilstoši dzīvokļu, nedzīvojamo telpu un mākslinieka darbnīcu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287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karstā ūdens cirkulāciju īpašumā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Konstanto vērtību, kas minēta šīs metodikas 3. un 4. punktā,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7635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vasaras sezonas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vasaras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495425"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apkures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526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6212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Apkures un karstā ūdens cirkulācijai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50495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Koplietošanas telpu apkurei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1619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438275" cy="1619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16192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43000" cy="16192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1619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181100" cy="1619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Apkures sezonas norēķina perioda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16192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171575" cy="16192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Apkures sezonas norēķina periodā siltumenerģijas daudzumu koplietošanas telpu apkurei,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23950" cy="2571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123950" cy="2571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Apkures sezonas norēķina periodā maksu par koplietošanas telpu apkures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71775" cy="1714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2771775" cy="1714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16192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524000" cy="16192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16192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590675" cy="16192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1809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228725" cy="1809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1714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438275" cy="171450"/>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1714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562100" cy="171450"/>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noteikumu_konsolidētā_versija_p10_24-TA-729.docx</dc:title>
</cp:coreProperties>
</file>

<file path=docProps/custom.xml><?xml version="1.0" encoding="utf-8"?>
<Properties xmlns="http://schemas.openxmlformats.org/officeDocument/2006/custom-properties" xmlns:vt="http://schemas.openxmlformats.org/officeDocument/2006/docPropsVTypes"/>
</file>