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ēkas siltumenerģijas patēriņa veidam (apkure, karstā ūdens nodrošināšana, karstā ūdens cirkulācija), ja siltumenerģiju uzskaita ar siltumenerģijas skaitītāju dzīvojamās mājas ievadā un ar siltumenerģijas skaitītājiem dzīvokļos, nedzīvojamās telpās vai mākslinieka darbnīcās un karstā ūdens cirkulāciju sadala uz kvadrātmetriem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dzīvokļos, mākslinieka darbnīcās un nedzīvojamās telpās uzstādītiem individuāliem apkures skaitītājiem: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7152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7152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98107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siltumenerģijas skaitītājiem,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47749"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047749"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76375" cy="2857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476375" cy="2857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vasaras sezonas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628775" cy="3524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vasaras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vasaras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4954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(MWh)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657350" cy="36195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1935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526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90700"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790700"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mājas kopējo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28700"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666750" cy="381000"/>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norēķina periodā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857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90599" cy="285750"/>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norēķina periodā karstā ūdens cirkulāciju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6215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6215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47775"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(MWh)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00125" cy="2857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kopējo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8100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990599" cy="28575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335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335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59067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228725" cy="2952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438275" cy="295275"/>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562100" cy="295275"/>
                    </a:xfrm>
                    <a:prstGeom prst="rect"/>
                    <a:ln/>
                  </pic:spPr>
                </pic:pic>
              </a:graphicData>
            </a:graphic>
          </wp:inline>
        </w:drawing>
      </w:r>
      <w:r w:rsidR="00000000" w:rsidRPr="00000000" w:rsidDel="00000000">
        <w:rPr>
          <w:rtl w:val="0"/>
        </w:rPr>
        <w:t xml:space="preserve">   (27)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noteikumu_konsolidētā_versija_p11_24-TA-729.docx</dc:title>
</cp:coreProperties>
</file>

<file path=docProps/custom.xml><?xml version="1.0" encoding="utf-8"?>
<Properties xmlns="http://schemas.openxmlformats.org/officeDocument/2006/custom-properties" xmlns:vt="http://schemas.openxmlformats.org/officeDocument/2006/docPropsVTypes"/>
</file>