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siltumenerģijas skaitītājiem dzīvokļos, nedzīvojamās telpās vai mākslinieka darbnīcās un karstā ūdens cirkulāciju sadala uz dzīvojamās ēkas īpašumu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dzīvokļos, mākslinieka darbnīcās un nedzīvojamās telpās uzstādītiem individuāliem apkures skaitītājiem: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1 </w:t>
      </w:r>
      <w:r w:rsidR="00000000" w:rsidRPr="00000000" w:rsidDel="00000000">
        <w:rPr>
          <w:rtl w:val="0"/>
        </w:rPr>
        <w:t xml:space="preserve">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1 </w:t>
      </w:r>
      <w:r w:rsidR="00000000" w:rsidRPr="00000000" w:rsidDel="00000000">
        <w:rPr>
          <w:rtl w:val="0"/>
        </w:rPr>
        <w:t xml:space="preserve">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pēc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pirms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6212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811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811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9052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9052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viena dzīvokļa, mākslinieka darbnīcas vai nedzīvojamās telpas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429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429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5906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3827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562100"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noteikumu_konsolidētā_versija_p12_24-TA-729.docx</dc:title>
</cp:coreProperties>
</file>

<file path=docProps/custom.xml><?xml version="1.0" encoding="utf-8"?>
<Properties xmlns="http://schemas.openxmlformats.org/officeDocument/2006/custom-properties" xmlns:vt="http://schemas.openxmlformats.org/officeDocument/2006/docPropsVTypes"/>
</file>