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siltumenerģijas skaitītājiem dzīvokļos, nedzīvojamās telpās vai mākslinieka darbnīcās un karstā ūdens cirkulāciju pieņem kā konstantu vērtību un sadala to atbilstoši dzīvokļu, nedzīvojamo telpu un mākslinieka darbnīcu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uzskaitītais kopējais siltumenerģijas patēriņš dzīvojamās mājas ievadā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uzskaitītais kopējais siltumenerģijas patēriņš dzīvojamās mājas ievadā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Konstanto vērtību, kas minēta šīs metodikas 3. un 4. punktā,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dzīvoklis, mākslinieka darbnīca vai nedzīvojamā telpa ir atvienota no mājas kopējās karstā ūdens padeves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4777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495425"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6212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patērēto karsto ūdeni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9545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69545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veidojas starpība starp aprēķināto daudzumu un ar dzīvokļos, mākslinieka darbnīcās vai nedzīvojamās telpās uzstādīto skaitītāju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239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239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52500" cy="3905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52500" cy="3905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2981325" cy="361950"/>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5906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228725"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4382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5621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noteikumu_konsolidētā_versija_p13_24-TA-729.docx</dc:title>
</cp:coreProperties>
</file>

<file path=docProps/custom.xml><?xml version="1.0" encoding="utf-8"?>
<Properties xmlns="http://schemas.openxmlformats.org/officeDocument/2006/custom-properties" xmlns:vt="http://schemas.openxmlformats.org/officeDocument/2006/docPropsVTypes"/>
</file>