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maksājamās daļas noteikšanai par siltumenerģiju atbilstoši siltumenerģijas patēriņa veidam (apkure, karstā ūdens nodrošināšana), ja siltumenerģiju uzskaita ar siltumenerģijas skaitītāju dzīvojamās mājas ievadā un skaitītāju dzīvojamās mājas apkurei patērētās siltumenerģijas uzskaitei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76325"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076325"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Norēķina periodā apkurei patērētās siltumenerģijas daudzumu nosaka, pamatojoties uz apkures skaitītāja uzskaitīto siltumenerģijas daudzumu: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790575"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apk.sk.</w:t>
      </w:r>
      <w:r w:rsidR="00000000" w:rsidRPr="00000000" w:rsidDel="00000000">
        <w:rPr>
          <w:rtl w:val="0"/>
        </w:rPr>
        <w:t xml:space="preserve"> – ar siltumenerģijas skaitītāju mājas siltummezglā uzskaitītais siltumenerģijas patēriņš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Dzīvojamās mājas platību, uz kuru attiecināma apkure,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028700" cy="29527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vai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38175" cy="39052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638175" cy="39052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Norēķina periodā maksu par viena kvadrātmetra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62024" cy="295275"/>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962024" cy="295275"/>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maksa par viena kvadrātmetra apkuri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43100" cy="31432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943100" cy="31432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maksa par viena kvadrātmetra apkuri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Dzīvojamās mājas īpašnieki var lemt par nedzīvojamo telpu un mākslinieka darbnīcu apkures patēriņa korekcijas koeficientu piemērošanu. Korekcijas koeficientu aprēķinu veic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Nedzīvojamās telpas vai mākslinieka darbnīcas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62050"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162050" cy="295275"/>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nedzīvojamās telpas vai mākslinieka darbnīcas viena kvadrātmetra apkurei patērētās siltumenerģijas daudzums, kas koriģēts atbilstoši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siltumenerģijas patēriņa korekcijas koeficients nedzīvojamo telpu vai mākslinieka darbnīcu apkurei, ko nosaka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Dzīvokļa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19200" cy="37147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219200" cy="371475"/>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apk.dz.</w:t>
      </w:r>
      <w:r w:rsidR="00000000" w:rsidRPr="00000000" w:rsidDel="00000000">
        <w:rPr>
          <w:rtl w:val="0"/>
        </w:rPr>
        <w:t xml:space="preserve"> – viena dzīvojamās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siltumenerģijas daudzums, kas patērēts nedzīvojamo telpu vai mākslinieka darbnīcu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Nedzīvojamo telpu un mākslinieka darbnīcu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52400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siltumenerģijas daudzums, kas patērēts nedzīvojamo telpu vai mākslinieka darbnīcu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nedzīvojamās telpas vai mākslinieka darbnīcas viena kvadrātmetra apkurei patērētās siltumenerģijas daudzums, kas koriģēts atbilstoši dzīvojamās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un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800100" cy="29527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800100" cy="29527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Viena kubikmetra aukstā ūdens uzsildīšanai patērētās siltumenerģijas daudzumu vasaras sezonas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876300" cy="361950"/>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876300" cy="361950"/>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2952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247775" cy="2952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Viena kubikmetra aukstā ūdens uzsildīšanai siltummainī patērētās siltumenerģijas daudzumu apkures sezonas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885825" cy="371475"/>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885825" cy="371475"/>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apkures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Ja veidojas ūdens patēriņa starpība, veic ūdens patēriņa pārrēķinu saskaņā ar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28875" cy="295275"/>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2428875" cy="295275"/>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dzīvoklī, mākslinieka darbnīcā vai nedzīvojamā telpā, kas uzskaitīts ar ūdens skaitītāju dzīvojamās mājas īpašumā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52600"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752600" cy="295275"/>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karstā ūdens patēriņam, ko lieto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85850"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085850" cy="295275"/>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Norēķina periodā aprēķināto daļu no ēkas kopējā siltumenerģijas patēriņa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dzīvojamās mājas īpašnieku lēmumam, kurā ir noteikta no apkures un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No dzīvojamās mājas kopējās apkures un karstā ūdens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228725" cy="295275"/>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kopējās mājas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1438275" cy="295275"/>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par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1562100" cy="295275"/>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noteikumu_konsolidētā_versija_p15_24-TA-729.docx</dc:title>
</cp:coreProperties>
</file>

<file path=docProps/custom.xml><?xml version="1.0" encoding="utf-8"?>
<Properties xmlns="http://schemas.openxmlformats.org/officeDocument/2006/custom-properties" xmlns:vt="http://schemas.openxmlformats.org/officeDocument/2006/docPropsVTypes"/>
</file>