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siltumenerģijas patēriņa veidam (apkure), ja siltumenerģiju uzskaita ar siltumenerģijas skaitītāju dzīvojamās mājas ievadā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76275"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676275"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7627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67627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norēķina periodā apkurei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Dzīvojamās mājas platību, uz kuru attiecināma apkure,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028700"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9052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666750" cy="39052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Norēķina periodā maksu par viena kvadrātmetra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62024" cy="295275"/>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962024" cy="295275"/>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885950" cy="3143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885950" cy="3143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Dzīvojamās mājas īpašnieki var lemt par nedzīvojamo telpu un mākslinieka darbnīcu apkures patēriņa korekcijas koeficientu piemērošanu. Korekcijas koeficientu aprēķinu veic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Nedzīvojamās telpas vai mākslinieka darbnīcas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3347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13347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platības vai mākslinieka darbnīcas kvadrātmetra apkurei patērētās siltumenerģijas daudzums, kas koriģēts atbilstoši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siltumenerģijas patēriņa korekcijas koeficients nedzīvojamo telpu vai mākslinieka darbnīcu apkurei, ko nosaka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Dzīvokļa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19200" cy="3714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19200" cy="3714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apk.dz.</w:t>
      </w:r>
      <w:r w:rsidR="00000000" w:rsidRPr="00000000" w:rsidDel="00000000">
        <w:rPr>
          <w:rtl w:val="0"/>
        </w:rPr>
        <w:t xml:space="preserve"> – viena dzīvojamās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Nedzīvojamo telpu un mākslinieka darbnīcu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240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telpas vai mākslinieka darbnīcas kvadrātmetra apkurei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47700"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64770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Ja dzīvoklis, nedzīvojamā telpa vai mākslinieka darbnīca ir atvienota no dzīvojamās mājas kopējās apkures apgādes sistēmas, dzīvojamās mājas īpašnieks maksā par patērētās siltumenerģijas daļu (piemēram, koplietošanas vajadzībām patērēto siltumenerģiju apkurei, dzīvoklī, nedzīvojamā telpā vai mākslinieka darbnīcā esošajiem dzīvojamās mājas apkures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Norēķina periodā aprēķināto daļu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dzīvojamās mājas īpašnieku lēmumam, kurā ir noteikta no apkures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No dzīvojamās mājas kopējās apkures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228725"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438275"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maksājamā daļa par norēķina perioda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Norēķina periodā siltumenerģijas kopējo daudzumu, kas attiecināms uz dzīvojamās mājas kopējai apkures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562100"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noteikumu_konsolidētā_versija_p18_24-TA-729.docx</dc:title>
</cp:coreProperties>
</file>

<file path=docProps/custom.xml><?xml version="1.0" encoding="utf-8"?>
<Properties xmlns="http://schemas.openxmlformats.org/officeDocument/2006/custom-properties" xmlns:vt="http://schemas.openxmlformats.org/officeDocument/2006/docPropsVTypes"/>
</file>