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ja siltumenerģiju uzskaita ar siltumenerģijas skaitītāju dzīvojamās mājas ievadā un siltuma maksas sadalītājiem dzīvokļos, nedzīvojamās telpās vai mākslinieka darbnīcās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6762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Apkurei patērēto siltumenerģiju apkures norēķina sezonā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50495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Koplietošanas telpu apkurei patērētās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43827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Dzīvokļu, mākslinieka darbnīcu vai nedzīvojamo telpu patērētās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52525" cy="16192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152525" cy="16192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Dzīvokļu, mākslinieka darbnīcu vai nedzīvojamo telpu apkurei patērētās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1619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181100" cy="1619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16192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71575" cy="16192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Apkures sezonas norēķina periodā siltumenerģijas daudzumu koplietošanas telpu apkurei, kas attiecināms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247649"/>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143000" cy="247649"/>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sezonas norēķina periodā maksu par koplietošanas telpu apkures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81300" cy="1809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781300" cy="1809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Apkures sezonā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1619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524000" cy="16192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1619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647700" cy="16192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norēķina perioda apkuri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 dzīvojamās mājas kopējās apkures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1809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228725" cy="1809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1714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438275" cy="1714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1714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562100" cy="1714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noteikumu_konsolidētā_versija_p19_24-TA-729.docx</dc:title>
</cp:coreProperties>
</file>

<file path=docProps/custom.xml><?xml version="1.0" encoding="utf-8"?>
<Properties xmlns="http://schemas.openxmlformats.org/officeDocument/2006/custom-properties" xmlns:vt="http://schemas.openxmlformats.org/officeDocument/2006/docPropsVTypes"/>
</file>