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20.</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ja siltumenerģiju uzskaita ar siltumenerģijas skaitītāju dzīvojamās mājas ievadā un ar siltumenerģijas patēriņa noteikšanas sistēmu dzīvokļos, nedzīvojamās telpās vai mākslinieka darbnīcās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9810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 </w:t>
      </w:r>
      <w:r w:rsidR="00000000" w:rsidRPr="00000000" w:rsidDel="00000000">
        <w:rPr>
          <w:rtl w:val="0"/>
        </w:rPr>
        <w:t xml:space="preserve">– apkurei patērētās siltumenerģijas daudzums (MWh), kas dzīvokļos, mākslinieka darbnīcās un nedzīvojamās telpās uzskaitīts, pielietojot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 </w:t>
      </w:r>
      <w:r w:rsidR="00000000" w:rsidRPr="00000000" w:rsidDel="00000000">
        <w:rPr>
          <w:rtl w:val="0"/>
        </w:rPr>
        <w:t xml:space="preserve">–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pielietojot siltumenerģijas patēriņa noteikšanas sistēmu,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Ja veidojas starpība starp mājas siltummezglā uzstādītā siltumenerģijas skaitītāja ar siltumenerģijas patēriņa noteikšanas sistēmu dzīvokļos, nedzīvojamās telpās un mākslinieka darbnīcās uzskaitīto siltumenerģijas daudzumu, siltumenerģijas patēriņu pārrēķina,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2872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izmantojot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Norēķina periodā siltumenerģijas patēriņa korekcijas daudzumu, kas attiecināms uz vienu dzīvokļa, nedzīvojamās telpas vai mākslinieka darbnīcas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9810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 </w:t>
      </w:r>
      <w:r w:rsidR="00000000" w:rsidRPr="00000000" w:rsidDel="00000000">
        <w:rPr>
          <w:rtl w:val="0"/>
        </w:rPr>
        <w:t xml:space="preserve">–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05125"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2905125"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 </w:t>
      </w:r>
      <w:r w:rsidR="00000000" w:rsidRPr="00000000" w:rsidDel="00000000">
        <w:rPr>
          <w:rtl w:val="0"/>
        </w:rPr>
        <w:t xml:space="preserve">–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 </w:t>
      </w:r>
      <w:r w:rsidR="00000000" w:rsidRPr="00000000" w:rsidDel="00000000">
        <w:rPr>
          <w:rtl w:val="0"/>
        </w:rPr>
        <w:t xml:space="preserve">–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64770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Norēķina periodā aprēķināto daļu no ēkas kopējā siltumenerģijas patēriņa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2287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382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 par norēķina perioda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621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 </w:t>
      </w:r>
      <w:r w:rsidR="00000000" w:rsidRPr="00000000" w:rsidDel="00000000">
        <w:rPr>
          <w:rtl w:val="0"/>
        </w:rPr>
        <w:t xml:space="preserve">– patērētās siltumenerģijas daudzums (MWh) norēķina periodā atbilstoši neatkarīga eksperta veiktajam aprēķinam vai dzīvojamās mājas īpašnieku lēmumam ēkas dzīvoklim, mākslinieka darbnīcai vai nedzīvojamai telpai, kas atvienota no mājas kopējās apkures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noteikumu_konsolidētā_versija_p20_1_24-TA-729.docx</dc:title>
</cp:coreProperties>
</file>

<file path=docProps/custom.xml><?xml version="1.0" encoding="utf-8"?>
<Properties xmlns="http://schemas.openxmlformats.org/officeDocument/2006/custom-properties" xmlns:vt="http://schemas.openxmlformats.org/officeDocument/2006/docPropsVTypes"/>
</file>