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ja siltumenerģiju uzskaita ar siltumenerģijas skaitītāju dzīvojamās mājas ievadā un siltumenerģijas skaitītājiem dzīvokļos, nedzīvojamās telpās vai mākslinieka darbnīcās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9810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veidojas starpība starp mājas siltummezglā uzstādītā siltumenerģijas skaitītāja ar dzīvokļos, nedzīvojamās telpās un mākslinieka darbnīcās uzstādīto skaitītāju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2872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Norēķina periodā siltumenerģijas patēriņa korekcijas daudzumu, kas attiecināms uz vienu dzīvokļa, nedzīvojamās telpas vai mākslinieka darbnīcas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9810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905125"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6477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2287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382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noteikumu_konsolidētā_versija_p20_24-TA-729.docx</dc:title>
</cp:coreProperties>
</file>

<file path=docProps/custom.xml><?xml version="1.0" encoding="utf-8"?>
<Properties xmlns="http://schemas.openxmlformats.org/officeDocument/2006/custom-properties" xmlns:vt="http://schemas.openxmlformats.org/officeDocument/2006/docPropsVTypes"/>
</file>