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karstā ūdens cirkulāciju pieņem kā konstantu vērtību, kas tiek sadalīta atbilstoši dzīvokļu, nedzīvojamo telpu un mākslinieka darbnīcu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382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tas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karstā ūdens cirkulāciju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857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47775" cy="2857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norēķina perioda karstā ūdens cirkulāciju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tas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Konstantās vērtības, kas minētas šīs metodikas 3. un 4. punktā, aprēķināt ir tiesīgs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7635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7635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87630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524000"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657350" cy="361950"/>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4193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Maksu par patērēto karsto ūdeni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7526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1809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62125" cy="1809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028700"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638175" cy="3905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990599"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885950" cy="31432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Viena nedzīvojamās telpas vai mākslinieka darbnīcas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133475"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381000"/>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95400" cy="381000"/>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Nedzīvojamo telpu vai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5240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53352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Aprēķināto daļu norēķina periodā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 dzīvojamās mājas kopējās apkures un karstā ūdens apgādes sistēmas atvienota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22872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Norēķina periodā maksu par siltumenerģiju dzīvoklim, nedzīvojamai telpai vai mākslinieka darbnīcai, kas ir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4382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562100"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noteikumu_konsolidētā_versija_p4_24-TA-729.docx</dc:title>
</cp:coreProperties>
</file>

<file path=docProps/custom.xml><?xml version="1.0" encoding="utf-8"?>
<Properties xmlns="http://schemas.openxmlformats.org/officeDocument/2006/custom-properties" xmlns:vt="http://schemas.openxmlformats.org/officeDocument/2006/docPropsVTypes"/>
</file>