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pieņem kā konstantu vērtību, to sadalot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platības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nedzīvojamo telpu vai mākslinieka darbnīcu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nedzīvojamo telpu vai mākslinieka darbnīcu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66825"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266825"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247775" cy="2857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tas ir 0,1 MWh mēnesī uz vienu dzīvokli, mākslinieka darbnīcu vai nedzīvojamām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Konstanto vērtību, kas minēta šīs metodikas 12. un 13.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763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Viena aukstā ūdens kubikmetra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87630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76212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Viena aukstā ūdens kubikmetra uzsildīšanai siltummainī patērētās siltumenerģijas daudzumu apkures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85825" cy="3714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885825" cy="3714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aukstā ūdens kubikmetra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24193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7526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335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mākslinieku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noteikumu_konsolidētā_versija_p7_24-TA-729.docx</dc:title>
</cp:coreProperties>
</file>

<file path=docProps/custom.xml><?xml version="1.0" encoding="utf-8"?>
<Properties xmlns="http://schemas.openxmlformats.org/officeDocument/2006/custom-properties" xmlns:vt="http://schemas.openxmlformats.org/officeDocument/2006/docPropsVTypes"/>
</file>