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“Valsts autoceļu attīstības stratēģiju līdz 2040. gadam”"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25-TA-1223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