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Kriminālprocesa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Kriminālprocesa likumā (Latvijas Republikas Saeimas un Ministru Kabineta Ziņotājs, 2005, 11., 20. nr.; 2006, 4. nr.; 2007, 3., 13. nr.; 2008, 1., 15. nr.; 2009, 9., 14., 15. nr.; Latvijas Vēstnesis, 2010, 19., 178. nr.; 2011, 117. nr.; 2012, 92., 189. nr.; 2013, 6., 21., 61., 112., 183., 187., 252. nr.; 2014, 113., 214. nr.; 2015, 11., 29., 140., 235. nr.; 2016, 48., 241. nr.; 2017, 75., 132., 203. nr.; 2018, 132., 201. nr.; 2019, 248.A nr.; 2020, 119.C, 232., 250. nr.; 2021, 12.A, 45.B, 202. nr.; 2022, 120., 204. nr.; 2023, 123., 203.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386.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Nodokļu un muitas policija;".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387.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septītajā daļā vārdus "Valsts ieņēmumu dienesta nodokļu un muitas policijas" ar vārdiem "Nodokļu un muitas policijas".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86. un 87.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"86. Grozījumi šā likuma 386. un 387. pantā saistībā ar Valsts ieņēmumu dienesta Iekšējās drošības pārvaldes funkciju un uzdevumu nodošanu Korupcijas novēršanas un apkarošanas birojam, kā arī šo funkciju institucionālo piekritību stājas spēkā 2025. gada 1. janvārī.</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Grozījumi šā likuma 386. un 387. pantā saistībā ar Nodokļu un muitas policijas izveidi un tās funkciju institucionālo piekritību stājas spēkā 2026.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24-TA-793</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24-TA-793</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likumprojekts_(grozījumi)_24-TA-793.docx</dc:title>
</cp:coreProperties>
</file>

<file path=docProps/custom.xml><?xml version="1.0" encoding="utf-8"?>
<Properties xmlns="http://schemas.openxmlformats.org/officeDocument/2006/custom-properties" xmlns:vt="http://schemas.openxmlformats.org/officeDocument/2006/docPropsVTypes"/>
</file>