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278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maijā (prot. Nr. 19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26. janvāra noteikumos Nr. 69 "Emisijas kvotu izsolīšanas instrumenta finansēto projektu atklāta konkursa "Siltumnīcefekta gāzu emisiju samazināšana – zema enerģijas patēriņa ēkas"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piesārņojumu</w:t>
      </w:r>
      <w:r w:rsidR="00000000" w:rsidRPr="00000000" w:rsidDel="00000000">
        <w:rPr>
          <w:rStyle w:val="paragraph"/>
          <w:i w:val="1"/>
          <w:rtl w:val="0"/>
        </w:rPr>
        <w:t xml:space="preserve">"</w:t>
      </w:r>
      <w:r>
        <w:br/>
      </w:r>
      <w:r w:rsidR="00000000" w:rsidRPr="00000000" w:rsidDel="00000000">
        <w:rPr>
          <w:rStyle w:val="paragraph"/>
          <w:i w:val="1"/>
          <w:rtl w:val="0"/>
        </w:rPr>
        <w:t xml:space="preserve">32.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4.</w:t>
      </w:r>
      <w:r w:rsidR="00000000" w:rsidRPr="00000000" w:rsidDel="00000000">
        <w:rPr>
          <w:rStyle w:val="paragraph"/>
          <w:i w:val="1"/>
          <w:vertAlign w:val="superscript"/>
          <w:rtl w:val="0"/>
        </w:rPr>
        <w:t xml:space="preserve">6</w:t>
      </w:r>
      <w:r w:rsidR="00000000" w:rsidRPr="00000000" w:rsidDel="00000000">
        <w:rPr>
          <w:rStyle w:val="paragraph"/>
          <w:i w:val="1"/>
          <w:rtl w:val="0"/>
        </w:rPr>
        <w:t xml:space="preserve">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26. janvāra noteikumos Nr. 69 "Emisijas kvotu izsolīšanas instrumenta finansēto projektu atklāta konkursa "Siltumnīcefekta gāzu emisiju samazināšana – zema enerģijas patēriņa ēkas" nolikums" (Latvijas Vēstnesis, 2016, 30. nr.; 2020, 123A.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"Emisijas kvotu izsolīšanas instrumenta finansēto projektu atklāta konkursa "Siltumnīcefekta gāzu emisiju samazināšana – zema enerģijas patēriņa ēkas" nolikums".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Klimata un enerģētikas ministrija (turpmāk – atbildīgā iestāde) ir atbildīga par konkursa nolikuma izstrādi, projektu iesniegumu pieņemšanu, vērtēšanu, apstiprināšanu, kā arī finanšu instrumenta finansējuma piešķiršanu. Atbildīgā iestāde ar līgumu deleģē sabiedrībai ar ierobežotu atbildību "Vides investīciju fonds" (turpmāk – Vides investīciju fonds) sagatavot, noslēgt, grozīt un izbeigt līgumus par projektu īstenošanu (turpmāk – projekta līgums), pārbaudīt pārskatus un kontrolēt projektu īstenošanu, tai skaitā atgūt projektiem izmaksātos finanšu instrumenta līdzekļus, kas atzīti par neattiecināmiem, un veikt monitoringa uzraudzību, ieskaitot informācijas sniegšanu par projektu enerģijas ietaupījumu saskaņā ar normatīvajiem aktiem energoefektivitātes monitoringa jomā. Attiecībā uz šajā punktā minēto uzdevumu izpildi Vides investīciju fonds ir atbildīgās iestādes pārraudzībā."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89.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"89. Finansējuma saņēmējs ir atbildīgs par projekta līgumā noteikto rezultātu sasniegšanu, tai skaitā par CO</w:t>
      </w:r>
      <w:r w:rsidR="00000000" w:rsidRPr="00000000" w:rsidDel="00000000">
        <w:rPr>
          <w:vertAlign w:val="subscript"/>
          <w:rtl w:val="0"/>
        </w:rPr>
        <w:t xml:space="preserve">2</w:t>
      </w:r>
      <w:r w:rsidR="00000000" w:rsidRPr="00000000" w:rsidDel="00000000">
        <w:rPr>
          <w:rtl w:val="0"/>
        </w:rPr>
        <w:t xml:space="preserve"> emisijas samazinājumu (attiecināms, ja projektā plānota esošas ēkas pārbūve vai atjaunošana) un enerģijas patēriņu apkurei uz ēkas aprēķina platību (attiecināms, ja projektā plānota jaunbūve)."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90.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"90. Ja Vides investīciju fonds atbilstoši finansējuma saņēmēja iesniegtajam monitoringa pārskatam par iepriekšējo monitoringa gadu (no kārtējā gada 1. janvāra līdz kārtējā gada 31. decembrim) konstatē, ka projekta līgumā noteiktais CO</w:t>
      </w:r>
      <w:r w:rsidR="00000000" w:rsidRPr="00000000" w:rsidDel="00000000">
        <w:rPr>
          <w:vertAlign w:val="subscript"/>
          <w:rtl w:val="0"/>
        </w:rPr>
        <w:t xml:space="preserve">2</w:t>
      </w:r>
      <w:r w:rsidR="00000000" w:rsidRPr="00000000" w:rsidDel="00000000">
        <w:rPr>
          <w:rtl w:val="0"/>
        </w:rPr>
        <w:t xml:space="preserve"> emisijas samazinājums gadā (attiecināms, ja projektā plānota esošas ēkas pārbūve vai atjaunošana), salīdzinot ar monitoringa pārskatā norādīto CO</w:t>
      </w:r>
      <w:r w:rsidR="00000000" w:rsidRPr="00000000" w:rsidDel="00000000">
        <w:rPr>
          <w:vertAlign w:val="subscript"/>
          <w:rtl w:val="0"/>
        </w:rPr>
        <w:t xml:space="preserve">2</w:t>
      </w:r>
      <w:r w:rsidR="00000000" w:rsidRPr="00000000" w:rsidDel="00000000">
        <w:rPr>
          <w:rtl w:val="0"/>
        </w:rPr>
        <w:t xml:space="preserve"> emisijas samazinājumu gadā, vai projekta līgumā noteiktais enerģijas patēriņš apkurei uz ēkas aprēķina platību (attiecināms, ja projektā plānota jaunbūve), salīdzinot ar monitoringa pārskatā norādīto enerģijas patēriņu apkurei uz ēkas aprēķina platību, nav sasniegts, Vides investīciju fonds 20 darbdienu laikā pēc monitoringa pārskata apstiprināšanas aprēķina neatbilstības apmēru (turpmāk – neatbilstība) par attiecīgo monitoringa gadu un rakstiski informē par to finansējuma saņēmēju. Šis nosacījums neattiecas uz pēdējo monitoringa gadu."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91.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Finansējuma saņēmējs 30 darbdienu laikā pēc tam, kad saņēmis šo noteikumu 90. punktā minēto informāciju par neatbilstību, iesniedz Vides investīciju fondā pasākumu plānu neatbilstības novēršanai (turpmāk – plāns). Ja finansējuma saņēmējs neiesniedz monitoringa pārskatu vai plānu šajos noteikumos minētajā termiņā, Vides investīciju fonds aprēķina neatbilstības apmēru par attiecīgo monitoringa gadu un rakstiski par to informē finansējuma saņēmēju."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91.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w:t>
      </w:r>
      <w:r w:rsidR="00000000" w:rsidRPr="00000000" w:rsidDel="00000000">
        <w:rPr>
          <w:rtl w:val="0"/>
        </w:rPr>
        <w:t xml:space="preserve"> Finansējuma saņēmējs plānā ietver: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w:t>
      </w:r>
      <w:r w:rsidR="00000000" w:rsidRPr="00000000" w:rsidDel="00000000">
        <w:rPr>
          <w:rtl w:val="0"/>
        </w:rPr>
        <w:t xml:space="preserve">1. nepieciešamos organizatoriskos un tehniskos pasākumus, lai samazinātu CO</w:t>
      </w:r>
      <w:r w:rsidR="00000000" w:rsidRPr="00000000" w:rsidDel="00000000">
        <w:rPr>
          <w:vertAlign w:val="subscript"/>
          <w:rtl w:val="0"/>
        </w:rPr>
        <w:t xml:space="preserve">2</w:t>
      </w:r>
      <w:r w:rsidR="00000000" w:rsidRPr="00000000" w:rsidDel="00000000">
        <w:rPr>
          <w:rtl w:val="0"/>
        </w:rPr>
        <w:t xml:space="preserve"> emisiju vai enerģijas patēriņu apkurei uz ēkas aprēķina platību;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1</w:t>
      </w:r>
      <w:r w:rsidR="00000000" w:rsidRPr="00000000" w:rsidDel="00000000">
        <w:rPr>
          <w:rtl w:val="0"/>
        </w:rPr>
        <w:t xml:space="preserve">2. ja nepieciešams, papildu energoefektivitātes pasākumus (turpmāk – papildu pasākumi), izņemot pasākumus, kuru īstenošanai finansējuma saņēmējs ir saņēmis finanšu instrumenta finansējumu vai ir saņēmis vai plāno saņemt finansējumu citu atbalsta programmu vai individuālā atbalsta projekta ietvaros, tai skaitā no finanšu instrumenta, Eiropas Savienības vai ārvalstu finanšu palīdzības līdzekļiem. Papildu pasākumus var īstenot ēkās un teritorijās, kas atbilst šo noteikumu 17.2. apakšpunktā minētajām prasībām, ja tās ir izpildītas projekta rezultātu monitoringa periodā. Papildu pasākumus apstiprina neatkarīgs eksperts ēku energoefektivitātes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91.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2</w:t>
      </w:r>
      <w:r w:rsidR="00000000" w:rsidRPr="00000000" w:rsidDel="00000000">
        <w:rPr>
          <w:rtl w:val="0"/>
        </w:rPr>
        <w:t xml:space="preserve"> Vides investīciju fonds 20 darbdienu laikā pēc plāna saņemšanas pārbauda tā atbilstību šo noteikumu 91.</w:t>
      </w:r>
      <w:r w:rsidR="00000000" w:rsidRPr="00000000" w:rsidDel="00000000">
        <w:rPr>
          <w:vertAlign w:val="superscript"/>
          <w:rtl w:val="0"/>
        </w:rPr>
        <w:t xml:space="preserve">1</w:t>
      </w:r>
      <w:r w:rsidR="00000000" w:rsidRPr="00000000" w:rsidDel="00000000">
        <w:rPr>
          <w:rtl w:val="0"/>
        </w:rPr>
        <w:t xml:space="preserve"> punktā minētajām prasībām. Ja plāns atbilst šo noteikumu 91.</w:t>
      </w:r>
      <w:r w:rsidR="00000000" w:rsidRPr="00000000" w:rsidDel="00000000">
        <w:rPr>
          <w:vertAlign w:val="superscript"/>
          <w:rtl w:val="0"/>
        </w:rPr>
        <w:t xml:space="preserve">1</w:t>
      </w:r>
      <w:r w:rsidR="00000000" w:rsidRPr="00000000" w:rsidDel="00000000">
        <w:rPr>
          <w:rtl w:val="0"/>
        </w:rPr>
        <w:t xml:space="preserve"> punkta prasībām, Vides investīciju fonds apstiprina plānu un informē finansējuma saņēmēju. Ja Vides investīciju fonds konstatē, ka plāns neatbilst šo noteikumu 91.</w:t>
      </w:r>
      <w:r w:rsidR="00000000" w:rsidRPr="00000000" w:rsidDel="00000000">
        <w:rPr>
          <w:vertAlign w:val="superscript"/>
          <w:rtl w:val="0"/>
        </w:rPr>
        <w:t xml:space="preserve">1</w:t>
      </w:r>
      <w:r w:rsidR="00000000" w:rsidRPr="00000000" w:rsidDel="00000000">
        <w:rPr>
          <w:rtl w:val="0"/>
        </w:rPr>
        <w:t xml:space="preserve"> punktā minētajām prasībām, tas 20 darbdienu laikā pēc plāna saņemšanas rakstiski par to informē finansējuma saņēmēju. Finansējuma saņēmējs 20 darbdienu laikā pēc informācijas saņemšanas novērš konstatētos trūkumus."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92.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Finansējuma saņēmējs plānu īsteno par saviem līdzekļiem. Pēc plāna īstenošanas finansējuma saņēmējs nodrošina projekta ietvaros īstenoto aktivitāšu un saskaņā ar plānu veikto pasākumu monitoringu."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93.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Ja Vides investīciju fonds pēc monitoringa pārskata saņemšanas par pēdējo monitoringa gadu konstatē, ka projekta līgumā plānotais CO</w:t>
      </w:r>
      <w:r w:rsidR="00000000" w:rsidRPr="00000000" w:rsidDel="00000000">
        <w:rPr>
          <w:vertAlign w:val="subscript"/>
          <w:rtl w:val="0"/>
        </w:rPr>
        <w:t xml:space="preserve">2</w:t>
      </w:r>
      <w:r w:rsidR="00000000" w:rsidRPr="00000000" w:rsidDel="00000000">
        <w:rPr>
          <w:rtl w:val="0"/>
        </w:rPr>
        <w:t xml:space="preserve"> emisijas samazinājums gadā (attiecināms, ja projektā plānota esošas ēkas pārbūve vai atjaunošana), salīdzinot ar monitoringa perioda triju labāko monitoringa gadu vidējo CO</w:t>
      </w:r>
      <w:r w:rsidR="00000000" w:rsidRPr="00000000" w:rsidDel="00000000">
        <w:rPr>
          <w:vertAlign w:val="subscript"/>
          <w:rtl w:val="0"/>
        </w:rPr>
        <w:t xml:space="preserve">2</w:t>
      </w:r>
      <w:r w:rsidR="00000000" w:rsidRPr="00000000" w:rsidDel="00000000">
        <w:rPr>
          <w:rtl w:val="0"/>
        </w:rPr>
        <w:t xml:space="preserve"> emisijas samazinājumu gadā, vai enerģijas patēriņš apkurei uz ēkas aprēķina platību, salīdzinot ar monitoringa perioda triju labāko monitoringa gadu vidējo enerģijas patēriņu apkurei uz ēkas aprēķina platību (attiecināms, ja projektā plānota jaunbūve), nav sasniegts, Vides investīciju fonds aprēķina neatbilstības apmēru un atgūstamo neattiecināmo līdzekļu apjomu saskaņā ar šo noteikumu 95. un 96. punktu un rakstiski informē par to finansējuma saņēmēju. Vides investīciju fonds saskaņā ar šo noteikumu 95., 96., 97. un 97.</w:t>
      </w:r>
      <w:r w:rsidR="00000000" w:rsidRPr="00000000" w:rsidDel="00000000">
        <w:rPr>
          <w:vertAlign w:val="superscript"/>
          <w:rtl w:val="0"/>
        </w:rPr>
        <w:t xml:space="preserve">1</w:t>
      </w:r>
      <w:r w:rsidR="00000000" w:rsidRPr="00000000" w:rsidDel="00000000">
        <w:rPr>
          <w:rtl w:val="0"/>
        </w:rPr>
        <w:t xml:space="preserve"> punktu pieņem lēmumu par projektam izmaksāto finanšu instrumenta līdzekļu atzīšanu par neattiecināmiem un finanšu instrumenta līdzekļu atgūšanu."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94.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Vides investīciju fonds sagatavo un līdz projektu īstenošanas perioda beigām publicē savā tīmekļvietnē finanšu instrumenta ietvaros īstenoto projektu monitoringa vadlīnijas. Vadlīnijās nosaka finanšu instrumenta ietvaros īstenoto projektu monitoringa principus, aktivitātes, kas iekļaujamas plānā, un kārtību, kādā tiek aprēķināts un monitoringa pārskata apstiprināšanā ņemts vērā CO</w:t>
      </w:r>
      <w:r w:rsidR="00000000" w:rsidRPr="00000000" w:rsidDel="00000000">
        <w:rPr>
          <w:vertAlign w:val="subscript"/>
          <w:rtl w:val="0"/>
        </w:rPr>
        <w:t xml:space="preserve">2</w:t>
      </w:r>
      <w:r w:rsidR="00000000" w:rsidRPr="00000000" w:rsidDel="00000000">
        <w:rPr>
          <w:rtl w:val="0"/>
        </w:rPr>
        <w:t xml:space="preserve"> emisijas samazinājums un enerģijas patēriņš apkurei uz ēkas aprēķina platību, ja finansējuma saņēmējs pēc projekta īstenošanas beigu termiņa ēkā ir veicis papildu energoefektivitātes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95.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Atgūstamo neattiecināmo līdzekļu apjomu atbilstoši konstatētajai neatbilstībai attiecībā uz CO</w:t>
      </w:r>
      <w:r w:rsidR="00000000" w:rsidRPr="00000000" w:rsidDel="00000000">
        <w:rPr>
          <w:vertAlign w:val="subscript"/>
          <w:rtl w:val="0"/>
        </w:rPr>
        <w:t xml:space="preserve">2</w:t>
      </w:r>
      <w:r w:rsidR="00000000" w:rsidRPr="00000000" w:rsidDel="00000000">
        <w:rPr>
          <w:rtl w:val="0"/>
        </w:rPr>
        <w:t xml:space="preserve"> emisijas samazinājumu gadā nosaka,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EKII</w:t>
      </w:r>
      <w:r w:rsidR="00000000" w:rsidRPr="00000000" w:rsidDel="00000000">
        <w:rPr>
          <w:vertAlign w:val="subscript"/>
          <w:rtl w:val="0"/>
        </w:rPr>
        <w:t xml:space="preserve">n.l.</w:t>
      </w:r>
      <w:r w:rsidR="00000000" w:rsidRPr="00000000" w:rsidDel="00000000">
        <w:rPr>
          <w:rtl w:val="0"/>
        </w:rPr>
        <w:t xml:space="preserve"> = (1 – ((CO</w:t>
      </w:r>
      <w:r w:rsidR="00000000" w:rsidRPr="00000000" w:rsidDel="00000000">
        <w:rPr>
          <w:vertAlign w:val="subscript"/>
          <w:rtl w:val="0"/>
        </w:rPr>
        <w:t xml:space="preserve">2_1.gads</w:t>
      </w:r>
      <w:r w:rsidR="00000000" w:rsidRPr="00000000" w:rsidDel="00000000">
        <w:rPr>
          <w:rtl w:val="0"/>
        </w:rPr>
        <w:t xml:space="preserve"> + CO</w:t>
      </w:r>
      <w:r w:rsidR="00000000" w:rsidRPr="00000000" w:rsidDel="00000000">
        <w:rPr>
          <w:vertAlign w:val="subscript"/>
          <w:rtl w:val="0"/>
        </w:rPr>
        <w:t xml:space="preserve">2_2.gads</w:t>
      </w:r>
      <w:r w:rsidR="00000000" w:rsidRPr="00000000" w:rsidDel="00000000">
        <w:rPr>
          <w:rtl w:val="0"/>
        </w:rPr>
        <w:t xml:space="preserve"> + CO</w:t>
      </w:r>
      <w:r w:rsidR="00000000" w:rsidRPr="00000000" w:rsidDel="00000000">
        <w:rPr>
          <w:vertAlign w:val="subscript"/>
          <w:rtl w:val="0"/>
        </w:rPr>
        <w:t xml:space="preserve">2</w:t>
      </w:r>
      <w:r w:rsidR="00000000" w:rsidRPr="00000000" w:rsidDel="00000000">
        <w:rPr>
          <w:vertAlign w:val="subscript"/>
          <w:rtl w:val="0"/>
        </w:rPr>
        <w:t xml:space="preserve">_3.gads</w:t>
      </w:r>
      <w:r w:rsidR="00000000" w:rsidRPr="00000000" w:rsidDel="00000000">
        <w:rPr>
          <w:rtl w:val="0"/>
        </w:rPr>
        <w:t xml:space="preserve">) / 3) / CO</w:t>
      </w:r>
      <w:r w:rsidR="00000000" w:rsidRPr="00000000" w:rsidDel="00000000">
        <w:rPr>
          <w:vertAlign w:val="subscript"/>
          <w:rtl w:val="0"/>
        </w:rPr>
        <w:t xml:space="preserve">2_Līgums</w:t>
      </w:r>
      <w:r w:rsidR="00000000" w:rsidRPr="00000000" w:rsidDel="00000000">
        <w:rPr>
          <w:rtl w:val="0"/>
        </w:rPr>
        <w:t xml:space="preserve">) × EKII × (1 + ECB</w:t>
      </w:r>
      <w:r w:rsidR="00000000" w:rsidRPr="00000000" w:rsidDel="00000000">
        <w:rPr>
          <w:vertAlign w:val="subscript"/>
          <w:rtl w:val="0"/>
        </w:rPr>
        <w:t xml:space="preserve">likme</w:t>
      </w:r>
      <w:r w:rsidR="00000000" w:rsidRPr="00000000" w:rsidDel="00000000">
        <w:rPr>
          <w:rtl w:val="0"/>
        </w:rPr>
        <w:t xml:space="preserve">),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EKII</w:t>
      </w:r>
      <w:r w:rsidR="00000000" w:rsidRPr="00000000" w:rsidDel="00000000">
        <w:rPr>
          <w:vertAlign w:val="subscript"/>
          <w:rtl w:val="0"/>
        </w:rPr>
        <w:t xml:space="preserve">n.l.</w:t>
      </w:r>
      <w:r w:rsidR="00000000" w:rsidRPr="00000000" w:rsidDel="00000000">
        <w:rPr>
          <w:rtl w:val="0"/>
        </w:rPr>
        <w:t xml:space="preserve"> – atgūstamais neattiecināmo līdzekļu apjoms (</w:t>
      </w:r>
      <w:r w:rsidR="00000000" w:rsidRPr="00000000" w:rsidDel="00000000">
        <w:rPr>
          <w:i w:val="1"/>
          <w:rtl w:val="0"/>
        </w:rPr>
        <w:t xml:space="preserve">euro</w:t>
      </w:r>
      <w:r w:rsidR="00000000" w:rsidRPr="00000000" w:rsidDel="00000000">
        <w:rPr>
          <w:rtl w:val="0"/>
        </w:rPr>
        <w:t xml:space="preserve">), noapaļots uz augšu līdz divām zīmēm aiz komata;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CO</w:t>
      </w:r>
      <w:r w:rsidR="00000000" w:rsidRPr="00000000" w:rsidDel="00000000">
        <w:rPr>
          <w:vertAlign w:val="subscript"/>
          <w:rtl w:val="0"/>
        </w:rPr>
        <w:t xml:space="preserve">2_Līgums</w:t>
      </w:r>
      <w:r w:rsidR="00000000" w:rsidRPr="00000000" w:rsidDel="00000000">
        <w:rPr>
          <w:rtl w:val="0"/>
        </w:rPr>
        <w:t xml:space="preserve"> – projekta līgumā norādītais CO</w:t>
      </w:r>
      <w:r w:rsidR="00000000" w:rsidRPr="00000000" w:rsidDel="00000000">
        <w:rPr>
          <w:vertAlign w:val="subscript"/>
          <w:rtl w:val="0"/>
        </w:rPr>
        <w:t xml:space="preserve">2</w:t>
      </w:r>
      <w:r w:rsidR="00000000" w:rsidRPr="00000000" w:rsidDel="00000000">
        <w:rPr>
          <w:rtl w:val="0"/>
        </w:rPr>
        <w:t xml:space="preserve"> emisijas samazinājums gadā (tonnas);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CO</w:t>
      </w:r>
      <w:r w:rsidR="00000000" w:rsidRPr="00000000" w:rsidDel="00000000">
        <w:rPr>
          <w:vertAlign w:val="subscript"/>
          <w:rtl w:val="0"/>
        </w:rPr>
        <w:t xml:space="preserve">2_1.gads</w:t>
      </w:r>
      <w:r w:rsidR="00000000" w:rsidRPr="00000000" w:rsidDel="00000000">
        <w:rPr>
          <w:rtl w:val="0"/>
        </w:rPr>
        <w:t xml:space="preserve">; CO</w:t>
      </w:r>
      <w:r w:rsidR="00000000" w:rsidRPr="00000000" w:rsidDel="00000000">
        <w:rPr>
          <w:vertAlign w:val="subscript"/>
          <w:rtl w:val="0"/>
        </w:rPr>
        <w:t xml:space="preserve">2_2.gads</w:t>
      </w:r>
      <w:r w:rsidR="00000000" w:rsidRPr="00000000" w:rsidDel="00000000">
        <w:rPr>
          <w:rtl w:val="0"/>
        </w:rPr>
        <w:t xml:space="preserve">; CO</w:t>
      </w:r>
      <w:r w:rsidR="00000000" w:rsidRPr="00000000" w:rsidDel="00000000">
        <w:rPr>
          <w:vertAlign w:val="subscript"/>
          <w:rtl w:val="0"/>
        </w:rPr>
        <w:t xml:space="preserve">2_3.gads</w:t>
      </w:r>
      <w:r w:rsidR="00000000" w:rsidRPr="00000000" w:rsidDel="00000000">
        <w:rPr>
          <w:rtl w:val="0"/>
        </w:rPr>
        <w:t xml:space="preserve"> – monitoringa perioda trīs monitoringa gadi (no 1. janvāra līdz 31. decembrim), kuros ir lielākais sasniegtais CO</w:t>
      </w:r>
      <w:r w:rsidR="00000000" w:rsidRPr="00000000" w:rsidDel="00000000">
        <w:rPr>
          <w:vertAlign w:val="subscript"/>
          <w:rtl w:val="0"/>
        </w:rPr>
        <w:t xml:space="preserve">2</w:t>
      </w:r>
      <w:r w:rsidR="00000000" w:rsidRPr="00000000" w:rsidDel="00000000">
        <w:rPr>
          <w:rtl w:val="0"/>
        </w:rPr>
        <w:t xml:space="preserve"> emisijas samazinājums gadā (tonnas), noapaļots uz augšu līdz divām zīmēm aiz komata;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 monitoringa gadu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EKII – piešķirtais finanšu instrumenta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ECB</w:t>
      </w:r>
      <w:r w:rsidR="00000000" w:rsidRPr="00000000" w:rsidDel="00000000">
        <w:rPr>
          <w:vertAlign w:val="subscript"/>
          <w:rtl w:val="0"/>
        </w:rPr>
        <w:t xml:space="preserve">likme</w:t>
      </w:r>
      <w:r w:rsidR="00000000" w:rsidRPr="00000000" w:rsidDel="00000000">
        <w:rPr>
          <w:rtl w:val="0"/>
        </w:rPr>
        <w:t xml:space="preserve"> – Eiropas Centrālās bankas refinansēšanas likme, kas ir spēkā dienā, kad pieņemts lēmums par līdzekļu atgūšanu."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96.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"96. Atgūstamo neattiecināmo līdzekļu apjomu atbilstoši konstatētajai neatbilstībai attiecībā uz enerģijas patēriņu apkurei uz ēkas aprēķina platību nosaka, izmantojot šādu formulu: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EKII</w:t>
      </w:r>
      <w:r w:rsidR="00000000" w:rsidRPr="00000000" w:rsidDel="00000000">
        <w:rPr>
          <w:vertAlign w:val="subscript"/>
          <w:rtl w:val="0"/>
        </w:rPr>
        <w:t xml:space="preserve">n.l.</w:t>
      </w:r>
      <w:r w:rsidR="00000000" w:rsidRPr="00000000" w:rsidDel="00000000">
        <w:rPr>
          <w:rtl w:val="0"/>
        </w:rPr>
        <w:t xml:space="preserve"> = (1 – Q</w:t>
      </w:r>
      <w:r w:rsidR="00000000" w:rsidRPr="00000000" w:rsidDel="00000000">
        <w:rPr>
          <w:vertAlign w:val="subscript"/>
          <w:rtl w:val="0"/>
        </w:rPr>
        <w:t xml:space="preserve">Līgums</w:t>
      </w:r>
      <w:r w:rsidR="00000000" w:rsidRPr="00000000" w:rsidDel="00000000">
        <w:rPr>
          <w:rtl w:val="0"/>
        </w:rPr>
        <w:t xml:space="preserve"> / ((Q</w:t>
      </w:r>
      <w:r w:rsidR="00000000" w:rsidRPr="00000000" w:rsidDel="00000000">
        <w:rPr>
          <w:vertAlign w:val="subscript"/>
          <w:rtl w:val="0"/>
        </w:rPr>
        <w:t xml:space="preserve">1.gads</w:t>
      </w:r>
      <w:r w:rsidR="00000000" w:rsidRPr="00000000" w:rsidDel="00000000">
        <w:rPr>
          <w:rtl w:val="0"/>
        </w:rPr>
        <w:t xml:space="preserve"> + Q</w:t>
      </w:r>
      <w:r w:rsidR="00000000" w:rsidRPr="00000000" w:rsidDel="00000000">
        <w:rPr>
          <w:vertAlign w:val="subscript"/>
          <w:rtl w:val="0"/>
        </w:rPr>
        <w:t xml:space="preserve">2.gads</w:t>
      </w:r>
      <w:r w:rsidR="00000000" w:rsidRPr="00000000" w:rsidDel="00000000">
        <w:rPr>
          <w:rtl w:val="0"/>
        </w:rPr>
        <w:t xml:space="preserve"> + Q</w:t>
      </w:r>
      <w:r w:rsidR="00000000" w:rsidRPr="00000000" w:rsidDel="00000000">
        <w:rPr>
          <w:vertAlign w:val="subscript"/>
          <w:rtl w:val="0"/>
        </w:rPr>
        <w:t xml:space="preserve">3.gads</w:t>
      </w:r>
      <w:r w:rsidR="00000000" w:rsidRPr="00000000" w:rsidDel="00000000">
        <w:rPr>
          <w:rtl w:val="0"/>
        </w:rPr>
        <w:t xml:space="preserve">) / 3)) × EKII × (1 + ECB</w:t>
      </w:r>
      <w:r w:rsidR="00000000" w:rsidRPr="00000000" w:rsidDel="00000000">
        <w:rPr>
          <w:vertAlign w:val="subscript"/>
          <w:rtl w:val="0"/>
        </w:rPr>
        <w:t xml:space="preserve">likme</w:t>
      </w:r>
      <w:r w:rsidR="00000000" w:rsidRPr="00000000" w:rsidDel="00000000">
        <w:rPr>
          <w:rtl w:val="0"/>
        </w:rPr>
        <w:t xml:space="preserve">), kur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EKII</w:t>
      </w:r>
      <w:r w:rsidR="00000000" w:rsidRPr="00000000" w:rsidDel="00000000">
        <w:rPr>
          <w:vertAlign w:val="subscript"/>
          <w:rtl w:val="0"/>
        </w:rPr>
        <w:t xml:space="preserve">n.l.</w:t>
      </w:r>
      <w:r w:rsidR="00000000" w:rsidRPr="00000000" w:rsidDel="00000000">
        <w:rPr>
          <w:rtl w:val="0"/>
        </w:rPr>
        <w:t xml:space="preserve"> – atgūstamais neattiecināmo līdzekļu apjoms (</w:t>
      </w:r>
      <w:r w:rsidR="00000000" w:rsidRPr="00000000" w:rsidDel="00000000">
        <w:rPr>
          <w:i w:val="1"/>
          <w:rtl w:val="0"/>
        </w:rPr>
        <w:t xml:space="preserve">euro</w:t>
      </w:r>
      <w:r w:rsidR="00000000" w:rsidRPr="00000000" w:rsidDel="00000000">
        <w:rPr>
          <w:rtl w:val="0"/>
        </w:rPr>
        <w:t xml:space="preserve">),</w:t>
      </w:r>
      <w:r w:rsidR="00000000" w:rsidRPr="00000000" w:rsidDel="00000000">
        <w:rPr>
          <w:i w:val="1"/>
          <w:rtl w:val="0"/>
        </w:rPr>
        <w:t xml:space="preserve"> </w:t>
      </w:r>
      <w:r w:rsidR="00000000" w:rsidRPr="00000000" w:rsidDel="00000000">
        <w:rPr>
          <w:rtl w:val="0"/>
        </w:rPr>
        <w:t xml:space="preserve">noapaļots uz augšu līdz divām zīmēm aiz komata;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Q</w:t>
      </w:r>
      <w:r w:rsidR="00000000" w:rsidRPr="00000000" w:rsidDel="00000000">
        <w:rPr>
          <w:vertAlign w:val="subscript"/>
          <w:rtl w:val="0"/>
        </w:rPr>
        <w:t xml:space="preserve">Līgums</w:t>
      </w:r>
      <w:r w:rsidR="00000000" w:rsidRPr="00000000" w:rsidDel="00000000">
        <w:rPr>
          <w:rtl w:val="0"/>
        </w:rPr>
        <w:t xml:space="preserve"> – projekta līgumā norādītais enerģijas patēriņš apkurei uz ēkas aprēķina platību gadā (kWh/m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Q</w:t>
      </w:r>
      <w:r w:rsidR="00000000" w:rsidRPr="00000000" w:rsidDel="00000000">
        <w:rPr>
          <w:vertAlign w:val="subscript"/>
          <w:rtl w:val="0"/>
        </w:rPr>
        <w:t xml:space="preserve">1.gads;</w:t>
      </w:r>
      <w:r w:rsidR="00000000" w:rsidRPr="00000000" w:rsidDel="00000000">
        <w:rPr>
          <w:rtl w:val="0"/>
        </w:rPr>
        <w:t xml:space="preserve"> Q</w:t>
      </w:r>
      <w:r w:rsidR="00000000" w:rsidRPr="00000000" w:rsidDel="00000000">
        <w:rPr>
          <w:vertAlign w:val="subscript"/>
          <w:rtl w:val="0"/>
        </w:rPr>
        <w:t xml:space="preserve">2.gads</w:t>
      </w:r>
      <w:r w:rsidR="00000000" w:rsidRPr="00000000" w:rsidDel="00000000">
        <w:rPr>
          <w:rtl w:val="0"/>
        </w:rPr>
        <w:t xml:space="preserve">; Q</w:t>
      </w:r>
      <w:r w:rsidR="00000000" w:rsidRPr="00000000" w:rsidDel="00000000">
        <w:rPr>
          <w:vertAlign w:val="subscript"/>
          <w:rtl w:val="0"/>
        </w:rPr>
        <w:t xml:space="preserve">3.gads</w:t>
      </w:r>
      <w:r w:rsidR="00000000" w:rsidRPr="00000000" w:rsidDel="00000000">
        <w:rPr>
          <w:rtl w:val="0"/>
        </w:rPr>
        <w:t xml:space="preserve"> – monitoringa perioda trīs monitoringa gadi (no 1. janvāra līdz 31. decembrim), kuros ir zemākais enerģijas patēriņš apkurei gadā (kWh/m</w:t>
      </w:r>
      <w:r w:rsidR="00000000" w:rsidRPr="00000000" w:rsidDel="00000000">
        <w:rPr>
          <w:vertAlign w:val="superscript"/>
          <w:rtl w:val="0"/>
        </w:rPr>
        <w:t xml:space="preserve">2</w:t>
      </w:r>
      <w:r w:rsidR="00000000" w:rsidRPr="00000000" w:rsidDel="00000000">
        <w:rPr>
          <w:rtl w:val="0"/>
        </w:rPr>
        <w:t xml:space="preserve">). Skaitli nedrīkst noapaļot uz augšu;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 monitoringa gadu skaits;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EKII – piešķirtais finanšu instrumenta finansējums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ECB</w:t>
      </w:r>
      <w:r w:rsidR="00000000" w:rsidRPr="00000000" w:rsidDel="00000000">
        <w:rPr>
          <w:vertAlign w:val="subscript"/>
          <w:rtl w:val="0"/>
        </w:rPr>
        <w:t xml:space="preserve">likme</w:t>
      </w:r>
      <w:r w:rsidR="00000000" w:rsidRPr="00000000" w:rsidDel="00000000">
        <w:rPr>
          <w:rtl w:val="0"/>
        </w:rPr>
        <w:t xml:space="preserve"> – Eiropas Centrālās bankas refinansēšanas likme, kas ir spēkā dienā, kad pieņemts lēmums par līdzekļu atgūšanu."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97.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 Vides investīciju fondam ir tiesības projekta īstenošanas laikā, kā arī piecus gadus pēc projekta īstenošanas beigu termiņa pārbaudīt projekta īstenošanas pārskatā, projekta līgumā un monitoringa pārskatā sniegto informāciju, apsekojot projekta īstenošanas vietu. Finansējuma saņēmēja pienākums ir nodrošināt Vides investīciju fondam piekļuvi projekta īstenošanas vietai un visai ar projektu saistītajai dokumentācijai."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97.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vertAlign w:val="superscript"/>
          <w:rtl w:val="0"/>
        </w:rPr>
        <w:t xml:space="preserve">1</w:t>
      </w:r>
      <w:r w:rsidR="00000000" w:rsidRPr="00000000" w:rsidDel="00000000">
        <w:rPr>
          <w:rtl w:val="0"/>
        </w:rPr>
        <w:t xml:space="preserve"> Vides investīciju fonds, pieņemot lēmumu par projektam izmaksāto finanšu instrumenta līdzekļu atzīšanu par neattiecināmiem un finansējuma atgūšanu atbilstoši konstatētajai CO</w:t>
      </w:r>
      <w:r w:rsidR="00000000" w:rsidRPr="00000000" w:rsidDel="00000000">
        <w:rPr>
          <w:vertAlign w:val="subscript"/>
          <w:rtl w:val="0"/>
        </w:rPr>
        <w:t xml:space="preserve">2</w:t>
      </w:r>
      <w:r w:rsidR="00000000" w:rsidRPr="00000000" w:rsidDel="00000000">
        <w:rPr>
          <w:rtl w:val="0"/>
        </w:rPr>
        <w:t xml:space="preserve"> emisijas samazinājuma neatbilstībai, ņem vērā CO</w:t>
      </w:r>
      <w:r w:rsidR="00000000" w:rsidRPr="00000000" w:rsidDel="00000000">
        <w:rPr>
          <w:vertAlign w:val="subscript"/>
          <w:rtl w:val="0"/>
        </w:rPr>
        <w:t xml:space="preserve">2</w:t>
      </w:r>
      <w:r w:rsidR="00000000" w:rsidRPr="00000000" w:rsidDel="00000000">
        <w:rPr>
          <w:rtl w:val="0"/>
        </w:rPr>
        <w:t xml:space="preserve"> emisiju samazinājuma apjomu no papildu pasākumiem, kas veikti saskaņā ar plānu pēc projekta īstenošanas termiņa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98.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 Finansējuma saņēmējs finanšu instrumenta līdzekļus, kas atzīti par neattiecināmiem un atgūstamiem saskaņā ar šo noteikumu 93. punktu, atmaksā atbildīgajai iestādei, pārskaitot uz Vides investīciju fonda vēstulē norādīto kontu atbilstoši projekta līgumā noteiktajai kārtībai."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98.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vertAlign w:val="superscript"/>
          <w:rtl w:val="0"/>
        </w:rPr>
        <w:t xml:space="preserve">1</w:t>
      </w:r>
      <w:r w:rsidR="00000000" w:rsidRPr="00000000" w:rsidDel="00000000">
        <w:rPr>
          <w:rtl w:val="0"/>
        </w:rPr>
        <w:t xml:space="preserve"> Ja ir konstatēts, ka projekts tā ieviešanas gaitā vai amortizācijas periodā neatbilst šo noteikumu 13. punktā minētajiem nosacījumiem un kvalificējams kā komercdarbības atbalsts un tam nav iespējams piemērot Komisijas regulas Nr. 651/2014 53. panta nosacījumus, vai ir konstatēts, ka ir pārkāptas regulas Nr. 651/2014 prasības, finansējuma saņēmējam ir pienākums atmaksāt atbildīgajai iestādei saņemto nelikumīgo komercdarbības atbalstu kopā ar procentiem no līdzekļiem, kas ir brīvi no komercdarbības atbalsta, pārskaitot uz Vides investīciju fonda vēstulē norādīto kontu,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23-TA-3193</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23-TA-3193</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noteikumu_(grozījumu)_projekts_23-TA-3193.docx</dc:title>
</cp:coreProperties>
</file>

<file path=docProps/custom.xml><?xml version="1.0" encoding="utf-8"?>
<Properties xmlns="http://schemas.openxmlformats.org/officeDocument/2006/custom-properties" xmlns:vt="http://schemas.openxmlformats.org/officeDocument/2006/docPropsVTypes"/>
</file>