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jūlijā (prot. Nr. 28 48.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likumā "Par valsts budžetu 2025. gadam un budžeta ietvaru 2025., 2026. un 2027. gadam" noteiktajiem Veselības ministrijas kapitālsabiedrību kopējo personāla izmaksu ierobežojumiem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Pamatojoties uz likuma "Par valsts budžetu 2025. gadam un budžeta ietvaru 2025., 2026. un 2027. gadam" 82. pantu, atļaut 2025. gadā palielināt kopējās personāla izmaksas salīdzinājumā ar iepriekšējo pārskata gadu: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"Nacionālais psihiskās veselības centrs" par 3,4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"Paula Stradiņa Klīniskā universitātes slimnīca" par 5,4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"Bērnu klīniskā universitātes slimnīca" par 5,2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"Traumatoloģijas un ortopēdijas slimnīca" par 4,0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"Nacionālais rehabilitācijas centrs "Vaivari"" par 3,3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"Strenču psihoneiroloģiskā slimnīca" par 3,3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"Slimnīca "Ģintermuiža"" par 4,0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"Piejūras slimnīca" par 10,5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sabiedrībai ar ierobežotu atbildību "Bērnu psihoneiroloģiskā slimnīca "Ainaži"" par 3,5 procentiem.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"Latvijas Digitālās veselības centrs" par vairāk nekā 2,6 procentiem.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25-TA-1018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25-TA-1018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