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w:t>
      </w:r>
      <w:r>
        <w:br/>
      </w:r>
      <w:r w:rsidR="00000000" w:rsidRPr="00000000" w:rsidDel="00000000">
        <w:rPr>
          <w:rStyle w:val="paragraph"/>
          <w:i w:val="1"/>
          <w:rtl w:val="0"/>
        </w:rPr>
        <w:t xml:space="preserve">un lauku attīstības likuma</w:t>
      </w:r>
      <w:r>
        <w:br/>
      </w:r>
      <w:r w:rsidR="00000000" w:rsidRPr="00000000" w:rsidDel="00000000">
        <w:rPr>
          <w:rStyle w:val="paragraph"/>
          <w:i w:val="1"/>
          <w:rtl w:val="0"/>
        </w:rPr>
        <w:t xml:space="preserve">5. panta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30. novembra noteikumos Nr. 776 "Valsts un Eiropas Savienības atbalsta piešķiršanas kārtība atklātu projektu konkursa veidā pasākumā "Ieguldījumi materiālajos aktīvos" 2014.–2020. gada plānošanas perioda pārejas laikā 2021. un 2022. gadā" (Latvijas Vēstnesis, 2021, 237. nr.; 2022, 29., 216. nr.; 2023, 107.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 produkts, kas nav minēts Līguma par Eiropas Savienības darbību I pielikumā, bet atbilst šādam Eiropas Savienības kombinētās nomenklatūras kodam: 04031051–04031099, 04039071–04039099, 04052010–04052030, 1518, 1704, 1805, 1806, 1901–1905, 20041091, 20052010, 2103, 2104, 2105, 2106, 2202 (tikai dabīgi raudzēts kvass ar alkohola saturu līdz 0,5 tilp. %), 2203, 3501, 3502 un 3504 00 90."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90.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2</w:t>
      </w:r>
      <w:r w:rsidR="00000000" w:rsidRPr="00000000" w:rsidDel="00000000">
        <w:rPr>
          <w:rtl w:val="0"/>
        </w:rPr>
        <w:t xml:space="preserve"> Ja projekta attiecināmo izmaksu summa pārsniedz piecus miljonus euro, šo  noteikumu 25. punktā, 74.9.1. apakšpunktā un 77. punktā minēto nosacījumu izpildes termiņš ir 24 mēneši pēc lēmuma spēkā stāšanās par projekta iesnieguma apstiprināšanu. Pamatotu iemeslu dēļ, Lauku atbalsta dienests šo termiņu var pagarināt vēl par sešiem mēnešiem."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90.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3</w:t>
      </w:r>
      <w:r w:rsidR="00000000" w:rsidRPr="00000000" w:rsidDel="00000000">
        <w:rPr>
          <w:rtl w:val="0"/>
        </w:rPr>
        <w:t xml:space="preserve"> Ja projekta attiecināmo izmaksu summa pārsniedz piecus miljonus euro, atbalsta saņemējs ir tiesīgs projektu īstenot posmos, ja atsevišķā posma īstenošanas izdevumi ir apmaksāti un pēc tā īstenošanas ir radusies auditējama vērtība vai to apliecina pakalpojuma sniedzēja akts par piegādi vai darbu veikšanu. Projekta īstenošanas izdevumus, kas radušies pēc plānošanas perioda izdevumu attiecināmības termiņa, sedz projekta īstenotājs."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24-TA-760</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24-TA-760</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noteikumu_(grozījumu)_projekts_24-TA-760.docx</dc:title>
</cp:coreProperties>
</file>

<file path=docProps/custom.xml><?xml version="1.0" encoding="utf-8"?>
<Properties xmlns="http://schemas.openxmlformats.org/officeDocument/2006/custom-properties" xmlns:vt="http://schemas.openxmlformats.org/officeDocument/2006/docPropsVTypes"/>
</file>