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vienotās azartspēļu automātu kontroles un uzraudzības sistēmas ieviešanas un uzturēšanas kārtību, sistēmā iekļaujamiem datiem un to apmaiņas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Azartspēļu un izložu likuma</w:t>
      </w:r>
      <w:r>
        <w:br/>
      </w:r>
      <w:r w:rsidR="00000000" w:rsidRPr="00000000" w:rsidDel="00000000">
        <w:rPr>
          <w:rStyle w:val="paragraph"/>
          <w:i w:val="1"/>
          <w:rtl w:val="0"/>
        </w:rPr>
        <w:t xml:space="preserve">24.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vienotās azartspēļu automātu kontroles un uzraudzības sistēmas (turpmāk – vienotā sistēma (AKUS)) ieviešanas un uzturēšanas kārtību, prasības attiecībā uz azartspēļu automātu pieslēgšanu vienotajai sistēmai (AKUS), kā arī vienotajā sistēmā (AKUS) iekļaujamos datus un datu apmaiņas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Azartspēļu organizētājs vietās, kur tas organizē azartspēles, ievieš vienoto sistēmu (AKUS), nodrošinot azartspēļu automātu saslēgšanu vienotā tīklā un iespēju Valsts ieņēmumu dienestam (turpmāk – dienests) iegūt šajos noteikumos minētos datus attālināti.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Vienotajā sistēmā (AKUS) par katru azartspēļu automātu tiek iekļauti šādi dati: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pamatinformācija par azartspēļu automātu: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dienesta piešķirtais identifikācijas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piešķirtais sērijas numurs;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noteiktais modelis;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spēles programmas nosaukums un versija;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atrašanās vietas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dati: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bāzes denominācijas koeficients no </w:t>
      </w:r>
      <w:r w:rsidR="00000000" w:rsidRPr="00000000" w:rsidDel="00000000">
        <w:rPr>
          <w:i w:val="1"/>
          <w:rtl w:val="0"/>
        </w:rPr>
        <w:t xml:space="preserve">euro</w:t>
      </w:r>
      <w:r w:rsidR="00000000" w:rsidRPr="00000000" w:rsidDel="00000000">
        <w:rPr>
          <w:rtl w:val="0"/>
        </w:rPr>
        <w:t xml:space="preserve"> uz kredītpunktiem;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kredītpunkti, kas izmantoti spēlējot ("IN");</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kredītpunkti, kas laimēti spēlējot ("OUT");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iekšējās "Jackpot" sistēmas izmaksas kredītpunktos, ja tās nav iekļautas "OUT" izmaksās ("IeJP");</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vēsturiskie notikumi, kuri tiek reģistrēti pēc notikuma laika (datums, laiks):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"IeJP"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visi vienotajā sistēmā (AKUS) reģistrētie azartspēļu automāta notikumu ieraksti.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Azartspēļu organizētājs nodrošina,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vienotajā sistēmā (AKUS) tiek iekļauti šo noteikumu </w:t>
      </w:r>
      <w:r w:rsidR="00000000" w:rsidRPr="00000000" w:rsidDel="00000000">
        <w:rPr>
          <w:rtl w:val="0"/>
        </w:rPr>
        <w:t xml:space="preserve">3.</w:t>
      </w:r>
      <w:r w:rsidR="00000000" w:rsidRPr="00000000" w:rsidDel="00000000">
        <w:rPr>
          <w:rtl w:val="0"/>
        </w:rPr>
        <w:t xml:space="preserve"> punktā norādītie dati;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vienotajā sistēmā (AKUS) tiek norādīts azartspēļu automāta pieslēguma statuss (on-line/off-line) vienotajai sistēmai (AKUS);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 sistēma (AKUS) ir sinhronizēta atbilstoši Latvijas laika joslai;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tiek eksportēti vienotajā sistēmā (AKUS) kādā no šādiem datņu formātiem – </w:t>
      </w:r>
      <w:r w:rsidR="00000000" w:rsidRPr="00000000" w:rsidDel="00000000">
        <w:rPr>
          <w:i w:val="1"/>
          <w:rtl w:val="0"/>
        </w:rPr>
        <w:t xml:space="preserve">xls</w:t>
      </w:r>
      <w:r w:rsidR="00000000" w:rsidRPr="00000000" w:rsidDel="00000000">
        <w:rPr>
          <w:rtl w:val="0"/>
        </w:rPr>
        <w:t xml:space="preserve">, </w:t>
      </w:r>
      <w:r w:rsidR="00000000" w:rsidRPr="00000000" w:rsidDel="00000000">
        <w:rPr>
          <w:i w:val="1"/>
          <w:rtl w:val="0"/>
        </w:rPr>
        <w:t xml:space="preserve">xlsx</w:t>
      </w:r>
      <w:r w:rsidR="00000000" w:rsidRPr="00000000" w:rsidDel="00000000">
        <w:rPr>
          <w:rtl w:val="0"/>
        </w:rPr>
        <w:t xml:space="preserve">, </w:t>
      </w:r>
      <w:r w:rsidR="00000000" w:rsidRPr="00000000" w:rsidDel="00000000">
        <w:rPr>
          <w:i w:val="1"/>
          <w:rtl w:val="0"/>
        </w:rPr>
        <w:t xml:space="preserve">csv</w:t>
      </w:r>
      <w:r w:rsidR="00000000" w:rsidRPr="00000000" w:rsidDel="00000000">
        <w:rPr>
          <w:rtl w:val="0"/>
        </w:rPr>
        <w:t xml:space="preserve"> un </w:t>
      </w:r>
      <w:r w:rsidR="00000000" w:rsidRPr="00000000" w:rsidDel="00000000">
        <w:rPr>
          <w:i w:val="1"/>
          <w:rtl w:val="0"/>
        </w:rPr>
        <w:t xml:space="preserve">xml</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var iegūt informāciju no vienotās sistēmas (AKUS) elektroniskā veidā tiešsaistes datu režīmā, izmantojot tīkla lietotāja saskarni;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katrai dienesta amatpersonai, kuras amata pienākumos ir darbs ar vienoto sistēmu (AKUS), pēc pastāvīgās struktūrvienības direktora vai viņa vietnieka pieprasījuma tiek izsniegti identifikācijas dati, lai varētu attālināti piekļūt azartspēļu organizētāja iekļautajiem datiem vienotajā sistēmā (AKUS);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ievadītie dati vienotajā sistēmā (AKUS) tiek uzglabāti šajos noteikumos noteikto laikposmu, nodrošinot minēto datu integritāti un drošību;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apakšpunktā norādītie dati vienotajā sistēmā (AKUS) starp azartspēļu automātu un azartspēļu organizētāja centrālo serveri tiek atjaunoti ik pēc 30 minūtēm un uzglabāti 45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norādītie dati vienotajā sistēmā (AKUS) starp azartspēļu automātu un azartspēļu organizētāja centrālo serveri tiek atjaunoti ik pēc 24 stundām un uzglabāti 45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apakšpunktā norādītie dati pēc 45 dienu termiņa arhivētā formā tiek glabāti trīs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iegūstot informāciju saskaņā ar šo noteikumu </w:t>
      </w:r>
      <w:r w:rsidR="00000000" w:rsidRPr="00000000" w:rsidDel="00000000">
        <w:rPr>
          <w:rtl w:val="0"/>
        </w:rPr>
        <w:t xml:space="preserve">4.5.</w:t>
      </w:r>
      <w:r w:rsidR="00000000" w:rsidRPr="00000000" w:rsidDel="00000000">
        <w:rPr>
          <w:rtl w:val="0"/>
        </w:rPr>
        <w:t xml:space="preserve"> apakšpunktu, var: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azartspēļu organizētāja iekļauto datu uzraudzību, kontroli, apstrādi un analīzi (piemēram, datu importēšana, kopēšana, uzglabāšana, statistikas pārskatu sagatavošana);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atlasīt datus (arī par noteiktu laikposmu):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atsevišķu azartspēļu automātu pēc tam piešķirtā identifikācijas numura;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atsevišķu azartspēļu organizēšanas vietu pēc tai piešķirtā azartspēļu organizēšanas vietas licences numura vai azartspēļu organizēšanas vietas adreses;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visām azartspēļu organizētāja azartspēļu organizēšanas vietām un tajās esošajiem azartspēļu automātiem;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apskatīt vēsturiskos datus: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azartspēļu automātam piešķirto identifikācijas numuru;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azartspēļu automāta atrašanās vietu;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vēsturiskajiem notikumiem, kuri tiek reģistrēti pēc notikuma laika, atbilstoši šo noteikumu </w:t>
      </w:r>
      <w:r w:rsidR="00000000" w:rsidRPr="00000000" w:rsidDel="00000000">
        <w:rPr>
          <w:rtl w:val="0"/>
        </w:rPr>
        <w:t xml:space="preserve">3.3.</w:t>
      </w:r>
      <w:r w:rsidR="00000000" w:rsidRPr="00000000" w:rsidDel="00000000">
        <w:rPr>
          <w:rtl w:val="0"/>
        </w:rPr>
        <w:t xml:space="preserve"> apakšpunktā norādītajiem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iegūt azartspēļu automāta finanšu pārskatu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iegūt azartspēļu organizēšanas vietas finanšu pārskatu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Noteikumi ir piemērojami no 2019. gada 1. janvāra.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Azartspēļu automāta identifikācijas numurs, kuru Izložu un azartspēļu uzraudzības inspekcija piešķīrusi līdz 2026. gada 31. martam, ir izmantojams, kamēr azartspēļu organizētājs azartspēļu automātu ekspluatē Latvijas Republikas teritorijā vai kamēr minētais identifikācijas numurs netiek anulēts.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25-TA-3078</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25-TA-3078</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noteikumu_konsolidētā_versija_25-TA-3078.docx</dc:title>
</cp:coreProperties>
</file>

<file path=docProps/custom.xml><?xml version="1.0" encoding="utf-8"?>
<Properties xmlns="http://schemas.openxmlformats.org/officeDocument/2006/custom-properties" xmlns:vt="http://schemas.openxmlformats.org/officeDocument/2006/docPropsVTypes"/>
</file>