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Nozares, kurām darbības programmas "Uzņēmējdarbības attīstība, inovācijas un mazie un vidējie uzņēmumi" ietvaros finansējums netiek sniegts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Tirdzniecības nozarei – saskaņā ar NACE 2. red. G sadaļu "Vairumtirdzniecība un mazumtirdzniecība; automobiļu un motociklu remonts".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Komercpakalpojumu nozarei – saskaņā ar NACE 2. red. L sadaļu "Operācijas ar nekustamo īpašumu" un N sadaļas "Administratīvo un apkalpojošo dienestu darbība" 77. nodaļu "Iznomāšana un ekspluatācijas līzings".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Azartspēļu nozarei – saskaņā ar NACE 2. red. R sadaļu "Māksla, izklaide un atpūta" 92. nodaļu "Azartspēles un derības".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Alkoholisko dzērienu ražošanas nozarei – saskaņā ar NACE 2. red. C sadaļas 11. nodaļu "Dzērienu ražošana", izņemot klasi 11.06 "Iesala ražošana" un klasi 11.07 "Bezalkohola dzērienu ražošana; minerālūdeņu un pudelēs iepildītu citu ūdeņu ražošana".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Tabakas izstrādājumu ražošanas nozarei – saskaņā ar NACE 2. red. C sadaļas 12. nodaļu "Tabakas izstrādājumu ražošana".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Atbalsts, ko sniedz atbilstoši Komisijas regulas Nr. 651/2014 nosacījumiem, netiek sniegts: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zivsaimniecības un akvakultūras nozarei – atbilstoši Komisijas regulas Nr. 651/2014 1. panta 3. punkta "a"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lauksaimniecības nozarei – atbilstoši Komisijas regulas Nr. 651/2014 1. panta 3. punkta "b" un "c"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darbības jomām atbilstoši Komisijas regulas Nr. 651/2014 1. panta 2. punkta "c" un "d" apakšpunktam;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 darbības jomām atbilstoši Komisijas regulas Nr. 651/2014 13. pantam.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Atbalsts, ko sniedz atbilstoši Komisijas regulas Nr. 1407/2013 nosacījumiem, netiek sniegts tām nozarēm, kuras atbilst Komisijas regulas Nr. 1407/2013 1. panta 1. punktā minētajiem izņēmumiem.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23-TA-2482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23-TA-2482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noteikumu_konsolidētā_versija_p2_23-TA-2482.docx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