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31. janvārī (prot. Nr. 4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zemes vienības piederību vai piekritību valstij Rīgas valstspilsētā un tās nostiprināšanu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sesto daļu saglabāt valsts īpašumā un nodot Finanšu ministrijas valdījumā zemes vienību (zemes vienības kadastra apzīmējums 0100 050 0164) 0,001 ha platībā (pēc kadastrālās uzmērīšanas platība var tikt precizēta) bez adreses, Rīgā, kas nepieciešama Publiskas personas mantas atsavināšanas likumā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normatīvajos aktos noteiktajā kārtībā nostiprināt zemesgrāmatā uz valsts vārda Finanšu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24-TA-2888</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24-TA-2888</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rīkojuma_projekts_24-TA-2888.docx</dc:title>
</cp:coreProperties>
</file>

<file path=docProps/custom.xml><?xml version="1.0" encoding="utf-8"?>
<Properties xmlns="http://schemas.openxmlformats.org/officeDocument/2006/custom-properties" xmlns:vt="http://schemas.openxmlformats.org/officeDocument/2006/docPropsVTypes"/>
</file>