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janvārī (prot. Nr. 1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pasākumu "Nevalstisko organizāciju iesaiste veselības veicināšanas un slimību profilakses pasākumu īstenošanā"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plānotais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uzlabot vienlīdzīgu un savlaicīgu piekļuvi veselības veicināšanas un slimību profilakses pakalpojumiem, nodrošinot vietēja mēroga veselības veicināšanas un slimību profilakses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Latvijas iedzīvotāji, it īpaši bērni, jaunieši un vecāki.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Pasākums veicina specifiskā atbalsta mērķa rezultāta rādītāja "iedzīvotāju skaits, kuri pēdējā gada laikā veselības apsvērumu dēļ Eiropas Sociālā fonda Plus veselības veicināšanas pasākumu ietekmē ir mainījuši uztura un citus dzīvesveida paradumus, nodrošinot, ka līdz 2029. gada 31. decembrim sasniegts rādītājs – 50 000 iedzīvotāju" sasniegšanu.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Pasākumam plānotais un pieejamais kopējais finansējums ir 3 000 000 </w:t>
      </w:r>
      <w:r w:rsidR="00000000" w:rsidRPr="00000000" w:rsidDel="00000000">
        <w:rPr>
          <w:i w:val="1"/>
          <w:rtl w:val="0"/>
        </w:rPr>
        <w:t xml:space="preserve">euro</w:t>
      </w:r>
      <w:r w:rsidR="00000000" w:rsidRPr="00000000" w:rsidDel="00000000">
        <w:rPr>
          <w:rtl w:val="0"/>
        </w:rPr>
        <w:t xml:space="preserve">, tai skaitā Eiropas Sociālā fonda Plus finansējums – 2 550 000 </w:t>
      </w:r>
      <w:r w:rsidR="00000000" w:rsidRPr="00000000" w:rsidDel="00000000">
        <w:rPr>
          <w:i w:val="1"/>
          <w:rtl w:val="0"/>
        </w:rPr>
        <w:t xml:space="preserve">euro</w:t>
      </w:r>
      <w:r w:rsidR="00000000" w:rsidRPr="00000000" w:rsidDel="00000000">
        <w:rPr>
          <w:rtl w:val="0"/>
        </w:rPr>
        <w:t xml:space="preserve"> un valsts budžeta līdzfinansējums – 450 000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Latvijas plānošanas reģioniem.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jomām ir 1 500 000 </w:t>
      </w:r>
      <w:r w:rsidR="00000000" w:rsidRPr="00000000" w:rsidDel="00000000">
        <w:rPr>
          <w:i w:val="1"/>
          <w:rtl w:val="0"/>
        </w:rPr>
        <w:t xml:space="preserve">euro</w:t>
      </w:r>
      <w:r w:rsidR="00000000" w:rsidRPr="00000000" w:rsidDel="00000000">
        <w:rPr>
          <w:rtl w:val="0"/>
        </w:rPr>
        <w:t xml:space="preserve">, ja pasākumi tiek īstenoti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minētajos Latvijas plānošanas reģionos.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iesniegumu atlasi organizē vienu reizi par visu pieejamo finansējumu. Ja projektu iesniegumu atlasē neapstiprina projektu iesniegumus par visu projektu iesniegumu atlases kārtai pieejamo kopējo attiecināmo finansējumu, finansējuma atlikums tiek pārplānots nākamajai projektu iesniegumu atlases kārtai.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ir attiecināmas, ja tās atbilst šajos noteikumos minētajām izmaksu pozīcijām un ir radušās pēc tam, kad noslēgts līgums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pasākuma ietvaros ir biedrība vai nodibinājums, kas saskaņā ar tā statūtiem īsteno veselības veicināšanas un/vai slimību profilakses pasākumus.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projekta iesniegumu iesniedz par katru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jomu atsevišķi, paredzot pasākumus nodrošināt vienā vai vairākos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minētajos Latvijas plānošanas reģionos, ievērojot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Projektu iesniegumu vērtēšanas komisijā sadarbības iestāde iekļauj arī pārstāvjus no Veselības ministrijas kā nozares ministrijas un Slimību profilakses un kontroles centra (turpmāk – SPKC).</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atbalstāmi veselības veicināšanas un slimību profilakses pasākumi Latvijas iedzīvotājiem, it īpaši bērniem, jauniešiem un vecākiem, lai novērstu priekšlaicīgu mirstību un darba nespēju, veicinātu dzīves kvalitāti un uzlabotu veselībpratību šādās jomās: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seksuālās un reproduktīvās veselības veicināšana;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atkarību mazināšana un profilakse.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veselības veicināšanas un slimību profilakses pasākumi īstenojami šādos Latvijas plānošanas reģionos: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Vidzeme;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Kurzeme;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veicināšanas un slimību profilakses pasākumi mērķa grupām;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un piekļūstamības nodrošināšanas pasākumi.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atbalstāmo darbību ietvaros finansējuma saņēmējs iekļauj pārējās attiecināmās izmaksas, ko aprēķina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un plāno kā vienu izmaksu pozīciju 40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projekta vadības un īstenošanas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atbalstāmās darbības ietvaros ir attiecināmas šādas attiecināmo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veicināšanas un slimību profilakses pasākumu (piemēram, konferenču, konsultāciju, lekciju ciklu, semināru, tiešsaistes semināru, nodarbību ciklu, diskusiju, domnīcu, darbnīcu, interešu grupu nodarbību, atbalsta grupu, mentora pakalpojumu, raidierakstu, interviju, video sociālajās platformās, informatīvu un izglītojošu resursu drukātā un/vai digitālā formātā, interaktīvo metožu, piemēram, lomu spēļu)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tai skaitā specializētā transporta, izmaksas mērķa grupām nokļūšanai pasākumu norises vietās;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ekspertu konsultāciju, pandusu un pacēlāju nomas, indukcijas cilpu nomas, zīmju valodas tulka, Braila raksta drukas, reāllaika transkripcijas, subtitru nodrošināšanas un citu pakalpojumu izmaksas, kā arī publicitātes un komunikācijas materiālu sagatavošana un izplatīšana piekļūstamos formātos, nodrošinot to uztveramību ar vairāk nekā vienu sensoro kanālu.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un piekļūstamības nodrošināšanas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pamatojoties uz finansējuma saņēmēja rakstisku avansa pieprasījumu, pēc līguma par projekta īstenošanu noslēgšanas var piešķirt finansējuma saņēmējam avansu. Finansējuma saņēmējs avansa pieprasījumu sagatavo un sadarbības iestāde to apstiprina, ņemot vērā, ka plānotā avansa apmērs atbilst spējai to izlietot sešu mēnešu laikā. Finansējuma saņēmējam avansu var piešķirt līdz 30 procentiem no projektam piešķirtā Eiropas Sociālā fonda Plus finansējuma un valsts budžeta līdzfinansējuma kopsummas un atbilstoši normatīvajiem aktiem par valsts budžeta līdzekļu plānošanas kārtību Eiropas Savienības fondu projektu īstenošanai un maksājumu veikšanai 2021.–2027. gada plānošanas periodā, ievērojot, ka avansu var izmaksāt vairākos maksājumos un avansa un starpposma maksājumu kopsumma nepārsniedz 95 procentus no projektam piešķirtā Eiropas Sociālā fonda Plus finansējuma un valsts budžeta līdzfinansējuma kopsummas.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2021/1060 64. panta 1. punkta "c" apakšpunktā ietvertajiem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iepirkumus, kas nepieciešami atbalstāmo darbību īstenošanai, pēc iespējas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īstenošanas laikā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panta un publiskos iepirkumus regulējošo normatīvo aktu prasībām,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nosacījumu ievērošanu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uzkrāj: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horizontālā principa "Vienlīdzība, iekļaušana, nediskriminācija un pamattiesību ievērošana" rādītāju – mediju kampaņu, semināru, konferenču un komunikācijas pasākumu skaits, kuros sabiedrības informēšanai tika nodrošināti cilvēkiem ar dažāda veida funkcionāliem traucējumiem piekļūstami formāti (tulkošana zīmju valodā, subtitrēšana, reāllaika transkripcija, raidījumu un pasākumu ieraksti);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pieprasījuma sagatavošanas nolūkā – datus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mērķa grupas personām (personas vārds, uzvārds, vecums, e-pasta adrese un tālruņa numurs). Atbilstoši regulas 2021/1060 82. panta 1. punktam dati tiek glabāti piecus gadus, sākot ar tā gada 31. decembri, kurā sadarbības iestāde veikusi pēdējo maksājumu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saņēmējam ir pienākums pēc SPKC pieprasījuma sniegt informāciju par plānotajiem pasākumiem un ir tiesības, ja nepieciešams, konsultēties ar SPKC.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uzņemas segt sadārdzinājumu, nodrošina nepārklāšanās principu ar citiem valsts un ārvalstu finanšu atbalsta instrumentiem un dubultā finansējuma neiestāšanos.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finansējuma saņēmējs projektu īsteno saskaņā ar līgumu par projekta īstenošanu, kas noslēgts starp finansējuma saņēmēju un sadarbības iestādi,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netiek plānots atbalsts tādām finansējuma saņēmēja darbībām, kurām atbalsts atbilstoši Komercdarbības atbalsta kontroles likuma 5. pantam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konstatēts, ka ar saimniecisko darbību nesaistīts projekts tā ieviešanas gaitā vai projekta pārskata periodā (projekta dzīves cikla laikā) kļūst par projektu, kas ir saistīts ar saimniecisko darbību un kam atbalsts kvalificējas kā komercdarbības atbalsts, atbalsta saņēmējam ir pienākums atmaksāt sadarbības iestādei saņemto nelikumīgo komercdarbības atbalstu no līdzekļiem, kas nav saistīti ar valsts atbalstu, atbilstoši Komercdarbības atbalsta kontroles likuma IV un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24-TA-2667</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24-TA-2667</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noteikumu_projekts_24-TA-2667.docx</dc:title>
</cp:coreProperties>
</file>

<file path=docProps/custom.xml><?xml version="1.0" encoding="utf-8"?>
<Properties xmlns="http://schemas.openxmlformats.org/officeDocument/2006/custom-properties" xmlns:vt="http://schemas.openxmlformats.org/officeDocument/2006/docPropsVTypes"/>
</file>