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797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19. decembrī (prot. Nr. 62 72.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2003. gada 29. aprīļa noteikumos Nr. 241 "Kultūras ministrijas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2003. gada 29. aprīļa noteikumos Nr. 241 "Kultūras ministrijas nolikums" (Latvijas Vēstnesis, 2003, 70., 116. nr.; 2004, 39. nr.; 2005, 76., 168. nr.; 2008, 10. nr.; 2009, 98. nr.; 2010, 37., 203., 206. nr.; 2011, 51., 175. nr.; 2012, 203. nr.; 2014, 184. nr.; 2015, 207. nr.; 2017, 237. nr.; 2019, 22.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"5.2. veido ministrijas, tās padotības iestāžu un kultūras nozares informācijas un komunikācijas tehnoloģiju attīstības politiku un pārrauga tās īstenošanu;";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24.26.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"24.26. Mākslu izglītības kompetences centrs "Latgales Mūzikas un mākslas vidusskola";";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24.27.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"24.27. Mākslu izglītības kompetences centrs "Ventspils Mūzikas vidusskola";";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24.29.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"24.29. Mākslu izglītības kompetences centrs "Rīgas Dizaina un mākslas vidusskola";";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24.31.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24.33.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"24.33. Mākslu izglītības kompetences centrs "Nacionālā Mākslu vidusskola";";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24.34.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"24.34. Mākslu izglītības kompetences centrs "Liepājas Mūzikas, mākslas un dizaina vidusskola".";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25.1. apakšpunktu.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2024.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Logina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23-TA-3135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23-TA-3135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noteikumu_(grozījumu)_projekts_23-TA-3135.docx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