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3.1.prioritātes “Ilgtspējīga TEN-T infrastruktūra” 3.3.1.specifiskā atbalsta mērķa “Attīstīt noturīgu aizsardzības infrastruktūru, veicinot militāro mobilitāti Eiropas Savienībā" 3.3.1.1. pasākumu "Dzelzceļa infrastruktūras attīstība un energoefektivitātes uzlabošana sabiedriskajos pasažieru pārvadājumos"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modernizēt dzelzceļa esošo elektrificēto tīklu, paplašināt elektrificēto zonu un paaugstināt pasažieru un vilcienu kustības drošību, pasažieru apkalpošanas kvalitāti un komfortu, kā arī attīstīt noturīgu aizsardzības infrastruktūru un veicināt  militāro mobilitāti.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"Dzelzceļa stacijas izveide starptautiskajā lidostā “Rīga""- viena stacija;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“Jaunas vai modernizētas dzelzceļa stacijas un pieturas, kurās izbūvēti paaugstinātie peroni” – trīs stacijas un pieturas;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“Jaunu vai modernizētu dzelzceļa sliežu garums – TEN-T” – 90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rezultāta rādītājs "Jaunuzbūvēto, jaunināto, rekonstruēto vai modernizēto sliežu ceļu lietotāju skaits gadā" -  3 534 660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mērķa grupa ir dzelzceļa infrastruktūras lietotāji un ar tiem saistītie citu transporta veidu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Kohēzijas fonda finansējumu pasākuma ietvaros piešķir granta veidā. Maksimālais attiecināmais Kohēzijas fonda finansējuma apmērs ir ne lielāks par 85 % un valsts budžeta līdzfinansējuma apmērs ir 15 %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ir valsts akciju sabiedrība "Latvijas dzelzceļš". Projekta iesniedzējs pēc projekta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akciju sabiedrība "Latvijas dzelzceļš" kā finansējuma saņēmējs piesaista sabiedrību ar ierobežotu atbildību “Eiropas dzelzceļa līnijas” kā sadarbības partneri, lai īstenotu projektu "Rīgas dzelzceļa mezgla savienojošās infrastruktūras izveide starptautiskā lidosta “Rīga" - "Rīgas Centrālā dzelzceļa stacija" - Aizkraukles virziens", noslēdzot sadarbības līgumu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 ar ierobežotu atbildību “Eiropas dzelzceļa līnijas” kā sadarbības partneris veic dzelzceļa trases uzbēruma no Mazās Gramzdas ielas zonas līdz K.Ulmaņa gatves pārvadam, K.Ulmaņa gatves pārvada līdz Zolitūdes ielai un saistīto risinājumu pārprojektēšanu un būvdarbus, un starptautiskās lidostas „Rīga” dzelzceļa stacijas ēkas un saistītās infrastruktūras pārprojektēšanu un būvdarbus.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pirms līguma par projekta īstenošanu noslēgšanas iesniedz sadarbības iestādē ar sadarbības partneri noslēgtu sadarbības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ir atbildīgs par projekta īstenošanu, mērķu sasniegšanu, izdevumu attiecināmību, kā arī maksājumu veikšanu un iepirkuma procedūras veikšanu, tai skaitā novērš dubultā finansējuma risku un nodrošina demarkāciju ar citiem līdzīgiem vai saistītiem pasākumiem.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un pieejamais kopējais finansējums ir 264 176 808 </w:t>
      </w:r>
      <w:r w:rsidR="00000000" w:rsidRPr="00000000" w:rsidDel="00000000">
        <w:rPr>
          <w:i w:val="1"/>
          <w:rtl w:val="0"/>
        </w:rPr>
        <w:t xml:space="preserve">euro</w:t>
      </w:r>
      <w:r w:rsidR="00000000" w:rsidRPr="00000000" w:rsidDel="00000000">
        <w:rPr>
          <w:rtl w:val="0"/>
        </w:rPr>
        <w:t xml:space="preserve">, tai skaitā Kohēzijas fonda finansējums 224 550 286 </w:t>
      </w:r>
      <w:r w:rsidR="00000000" w:rsidRPr="00000000" w:rsidDel="00000000">
        <w:rPr>
          <w:i w:val="1"/>
          <w:rtl w:val="0"/>
        </w:rPr>
        <w:t xml:space="preserve">euro</w:t>
      </w:r>
      <w:r w:rsidR="00000000" w:rsidRPr="00000000" w:rsidDel="00000000">
        <w:rPr>
          <w:rtl w:val="0"/>
        </w:rPr>
        <w:t xml:space="preserve"> un valsts budžeta līdzfinansējums – 39 626 522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atbalstāmās darbības ir dzelzceļa infrastruktūras būvniecība, pārbūve un atjaunošana, kas nodrošina pilnvērtīgu integrēšanos TEN-T tīklā energoefektivitātes uzlabošanu sabiedriskajos pasažieru pārvadājumos, tai skaitā Eiropas transporta tīklā esošās dzelzceļa infrastruktūras modernizācija un  jaunas dzelzceļa infrastruktūras izveide,  dzelzceļa pasažieru infrastruktūras modernizācija, kā arī  drošības, dzelzceļa sakaru un informācijas sistēmu nodrošināšanas, tai skaitā divejāda lietojuma pasākumu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Projektos neiekļauj darbības, kas nav vērstas uz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(izņemot projekta iesnieguma veidlapas aizpildīšanas izmaksas), tai skaitā izmaksu un ieguvumu analīzes izstrādes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un projekta īstenošanas personāla izmaksas, kas radušās uz darba līguma vai uzņēmuma līguma pamata, tostarp  normatīvajos aktos noteiktās piemaksas un nodokļi, proporcionāli darbinieka noslodzei projektā, ja tās ir pamatotas ar atbilstošiem izmaksas pamatojošiem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izmaksas, kas ietver projektēšanas un būvdarbu izmaksas, pakalpojumu, projektēšanas vai būvdarbu, vai apvienoto projektēšanas un būvdarbu līgumu ietvaros, tajā skaitā, bet ne tikai, saistītos darbus, saskaņošanas procesu, kā arī ar izmaiņu veikšanu, atkāpju saskaņošanu, darbu izpildes laika pagarināšanu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būvuzraudzības, būvekspertīzes, kā arī inženierkonsultanta un būvniecības procesa dalībnieku izmaksas, būvspeciālistu profesionālās civiltiesiskās atbildības apdrošināšanas un būvuzņēmēju civiltiesiskās atbildības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dzelzceļa infrastruktūras izbūves un pārbūves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staciju ēku būvniecības izmaksas, tai skaitā sliežu ceļu plāna uzlabojumu, pasažieru platformu pārbūves, pasažieru apkalpošanas infrastruktūras, drošu divlīmeņu šķērsojumu un piekļuves platformām izbūves izmaksas un piegulošās teritorijas labiekārtošanas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inženiertīklu, infrastruktūras pārbūves izmaksas, ja ir sertificēta būvinženiera ekspertīzes atzinums, kurā konstatēts, ka, projekta ietvaros veicot ieguldījumus noteiktās teritorijās, nav iespējams izvairīties no minētās infrastruktūras bojāšanas vai pārbūves vai, ja pārbūve ir paredzēta jau apstiprinātā būvprojekta būvniecības dokumentācijā. Izmaksas ir attiecināmas, ja netiek palielināta infrastruktūras jauda, tādējādi investīcijas neradīs priekšrocības inženiertīklu un infrastruktūras īpašniekam un tādējādi tiem netiek konstatēta ekonomiskās priekšrocības piešķiršana un nav jāpiemēro komercdarbības atbalsta regulējums;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pārbūves un nomaiņas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modernizācijas, pārbūves un izbūves izmaksas, kas rodas  būvprojekta verificēšanas procesā atbilstoši normatīvajiem aktiem par Eiropas dzelzceļa sistēmu savstarpēju izmantojamību;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tehniskās kontroles pakalpojumu izmaksas (satiksmes drošības kontrole, infrastruktūras diagnostika, kontakttīkla pieslēgšana vai  atslēgšana u.c.);</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izbūves, pārbūves un nomaiņas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divejāda lietojuma infrastruktūras izveides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videonovērošanas un apziņošanas ierīkošanas, integrācijas esošajā sistēmā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jaunas vilces jaudas apakšstaciju, kontakttīkla un to infrastruktūras izbūves un ierīkošanas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sistēmu izstrādes vai iegādes izmaksas, informācijas sistēmas ieviešanas izmaksas līdz tās darbības uzsākšanai, infrastruktūras iegādes un uzstādīšanas izmaksas, informācijas sistēmas programmatūras izstrādes vai iegādes un ieviešanas kvalitātes kontroles (tai skaitā vispusīgās testēšanas, audita) izmaksas, lietotāju vajadzību analīzes izmaksas, projektu īstenošanai nepieciešamo autortiesību maksājumu izmaksas projekta īstenošanas un uzraudzības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būvlaukuma ierīkošanas, uzturēšanas un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īstenošanai nepieciešamās zemes un cita nekustamā īpašuma iegādes  izmaksas nepārsniedzot vairāk kā 10 % no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prasību jomā, tostarp ietekmes uz vidi novērtējuma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nodevas, nodokļi un citi maksājumi, kas saistītas ar izbūvētas vai būvniecības procesā esošās infrastruktūras reģistrāciju Valsts zemes dienesta sistēmā, Zemesgrāmatā, kā arī citos reģistros, kā arī izmaksas iesniegumu sagatavošanai, tostarp izmaksas, kas saistītas ar dzelzceļa apakšsistēmu vai tā daļas atļaujas saņemšanu nodošanai ekspluatācijā un izbūvētās infrastruktūras reģistrāciju valsts reģistros un sistēmās;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labiekārtošanas izmaksas atbilstoši būvprojekta risinājumam (tai skaitā ēku un būvju demontāža);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pārvadātāja, kurš sniedz sabiedriskā transporta pakalpojumus reģionālās nozīmes dzelzceļa maršrutos, izdevumi, kas saistīti ar ierobežojumiem dzelzceļa infrastruktūras izmantošanā, kā rezultātā pārvadājumi ar vilcienu tiek pilnībā vai daļēji aizstāti ar autobusu pārvadājumiem;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tehnikas izmantošanas un būvmateriālu iegādes izmaksas 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izmaksu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indeksācijas izmaksas nepārsniedzot 55% no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attiecināmas projekta īstenošanas personāla izmaksas un projekta vadības personāla izmaksas, kuras plāno 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atlīdzības izmaksas, kas radušās uz darba līguma vai uzņēmuma līguma pamata 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darbu veikšanai, proporcionāli darbinieka noslodzei projektā, ja tās ir pamatotas ar atbilstošiem izmaksas pamatojošiem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līguma pamata, proporcionāli darbinieka noslodzei projektā, ja tās ir pamatotas ar atbilstošiem izmaksas pamatojošiem dokumentiem.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noteiktās attiecināmās izmaksas par finansējuma saņēmēja paša  veiktajiem darbiem  ir iespējams attiecināt, ja ir izpildīti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atbilstoši normatīvajiem aktiem būvniecības jomā ir reģistrēts Būvniecības informācijas sistēmā kā būvkomersants attiecīgajā specialitātē un darbības sfērā, kurā veikti attiecīgie darbi, un darbu veicēji ir sertificēti atbilstoši normatīvajiem aktiem būvniecības jomā attiecīgajā darbības sfērā, ja to nosaka normatīvie akti būvniecības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veicēji ir finansējuma saņēmēja speciālisti, tostarp tādi, kuri ir sertificēti attiecīgajā darbības sfērā,  ja to paredz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veikšanai netiek piesaistīti apakšuzņēmēji, papildus neizslēdzot iepirkumu veikšanu visu pārējo darbu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saņēmējam, ievērojot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minētos nosacījumus, ir jānovērš dubultfinansējuma riskus, tostarp vienus un tos pašus darbus neparedzot finansēt gan iepirkuma, gan projekta īstenošanas personāla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 apmērā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minētajām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Neparedzētie izdevumi nepārsniedz 5 % no projekta kopējām tiešajām attiecināmajām izmaksām. Finansējuma saņēmējs saskaņo neparedzēto izdevumu izlietošanu ar sadarbības iestādi pirms izdevumu veikšanas.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Pasākumu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ir atbalstāma vides prasību integrācija būvdarbu iepirkumos (zaļais publiskais iepirkums), vides un informācijas  piekļūstamības nodrošināšanas izmaksas atbilstoši būvprojekta risinājumam un personu ar invaliditāti intereses pārstāvošo nevalstisko organizāciju ekspertu konsultācijas, tās paredzot projektēšanas vai būvdarbu līguma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atbalstāmo darbību ietvaros radušās izmaksas var uzskatīt par attiecināmām finansēšanai no Kohēzijas fonda, ja tās atbilst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attiecināmajām izmaksām un atbilst šo noteikumu un </w:t>
      </w:r>
      <w:r w:rsidR="00000000" w:rsidRPr="00000000" w:rsidDel="00000000">
        <w:rPr>
          <w:rtl w:val="0"/>
        </w:rPr>
        <w:t xml:space="preserve">17.8.</w:t>
      </w:r>
      <w:r w:rsidR="00000000" w:rsidRPr="00000000" w:rsidDel="00000000">
        <w:rPr>
          <w:rtl w:val="0"/>
        </w:rPr>
        <w:t xml:space="preserve"> un </w:t>
      </w:r>
      <w:r w:rsidR="00000000" w:rsidRPr="00000000" w:rsidDel="00000000">
        <w:rPr>
          <w:rtl w:val="0"/>
        </w:rPr>
        <w:t xml:space="preserve">17.15. </w:t>
      </w:r>
      <w:r w:rsidR="00000000" w:rsidRPr="00000000" w:rsidDel="00000000">
        <w:rPr>
          <w:rtl w:val="0"/>
        </w:rPr>
        <w:t xml:space="preserve">apakšpunktā</w:t>
      </w:r>
      <w:r w:rsidR="00000000" w:rsidRPr="00000000" w:rsidDel="00000000">
        <w:rPr>
          <w:rtl w:val="0"/>
        </w:rPr>
        <w:t xml:space="preserve"> ,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izmaksu apjoma ierobežojumiem, un ir radušās ne agrāk kā 2021. gada 1. janvārī. Pasākuma ietvaros nevar tikt attiecināt jau pabeigtas darbības, proti, darbības, kas jau pabeigtas pirms projektu iesniegumu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ne vēlāk kā viena mēneša laikā pēc šo noteikumu stāšanās spēkā izsludina projektu iesniegumu atlasi.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ne vēlāk kā divu mēnešu laikā pēc projektu iesniegumu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projektu īsteno saskaņā ar noslēgtajā līgumā par projekta īstenošanu noteikto termiņu,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ir pienākums: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principu "Vienlīdzība, iekļaušana, nediskriminācija un pamattiesību ievērošana" un uzkrāt datus par projekta ietekmi uz horizontālo principu rādītāju - "Objektu skaits, kuros Kohēzijas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ietekmi uz horizontālo principu rādītājiem (ja attiecināms) un ievērot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sasniegto rezultātu ilgtspēju piecus gadus pēc projekta pabeigšanas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komunikācijas un vizuālās identitātes pasākumus saskaņā  ar Regulas Nr. 2021/1060 47. un 50. pantu, kārtību, kādā Eiropas Savienības fondu vadībā iesaistītās institūcijas nodrošina šo fondu ieviešanu 2021.–2027.gada plānošanas periodā un saskaņā ar Eiropas Savienības kohēzijas politikas programmā 2021.–2027.gadam stratēģiski svarīgam projektam noteiktajiem pienākumiem.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ka infrastruktūras objekts, kurā plānots veikt ieguldījumus ir īpašumā un finansējuma saņēmēja tiesības uz konkrēto objektu vai īpašumu ir nostiprinātas valsts vienotajā datorizētajā Zemesgrāmatā vai infrastruktūras objekts tiesību aktos noteiktā kārtībā nodots finansējuma saņēmēja valdījumā vai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izstrādāt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31.5. </w:t>
      </w:r>
      <w:r w:rsidR="00000000" w:rsidRPr="00000000" w:rsidDel="00000000">
        <w:rPr>
          <w:rtl w:val="0"/>
        </w:rPr>
        <w:t xml:space="preserve">apakšpunktā</w:t>
      </w:r>
      <w:r w:rsidR="00000000" w:rsidRPr="00000000" w:rsidDel="00000000">
        <w:rPr>
          <w:rtl w:val="0"/>
        </w:rPr>
        <w:t xml:space="preserve"> minētā stratēģiski svarīgā projekta gadījumā ir jāievēro šādas komunikācijas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jāstrādā stratēģiski svarīgā projekta komunikācijas plānu, kas paredz nodrošināt vismaz viena plašāka mēroga publicitātes pasākumu mediju intereses un sabiedrības uzmanības piesaistīšanai projekta atklāšanas, vidusposma vai noslēguma fāzē. Stratēģiski svarīgā projekta komunikācijas plānu iesniedz informācijai arī atbildīgajā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jānodrošina visu minēto projektu komunikācijas aktivitāšu īstenošanu ciešā sadarbībā ar atbildīgo iestādi un Eiropas Komisijas pārstāvniecību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projektu īstenošanai nepieciešamo preču un pakalpojumu iegādi veic saskaņā ar normatīvajiem aktiem publisko iepirkumu jomā, īstenojot atklātu, pārredzamu, nediskriminējošu un konkurenci nodrošinošu konkursa procedūru, ja šāda iepirkuma procedūra nav veikta un līgums nav noslēgts. Atbalstāma ir vides prasību integrācija preču un pakalpojumu iepirkumos, kā arī vides piekļūstamības un izmantojamības nodrošināšana (zaļais publiskais iepirkums), kur tā ir attiecināma un atbilstoša ieguldījumu specifikai, lai īstenotu sociāli atbildīgu iepirkumu un/vai inovatīvu publisko iepirkumu.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ievērojot principa "nenodarīt būtisku kaitējumu"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un dzelzceļa infrastruktūras attīstība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laikā tiek nodrošināts, ka netiek radīta būtiska negatīva ietekme uz ūdens resursiem, aprites ekonomikas principu ievērošanu, vides piesārņojuma novēršanu, kā arī bioloģiskās daudzveidības un ekosistēmu saglabāšanu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pēc līguma par projekta īstenošanu noslēgšanas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100 % no projektam piešķirtā Kohēzijas fonda finansējuma un, ja tas ir paredzēts projektā, valsts budžeta līdzfinansējuma kopsummas, ievērojot, ka avansu var izmaksāt vairākos maksājumos un avansa un starpposma maksājumu kopsumma nepārsniedz 100 % no projektam piešķirtā Kohēzijas fonda finansējuma un valsts budžeta līdzfinansējuma kopsummas.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25-TA-2047</w:t>
    </w:r>
    <w:r>
      <w:br/>
    </w:r>
    <w:r w:rsidR="00000000" w:rsidRPr="00000000" w:rsidDel="00000000">
      <w:rPr>
        <w:rtl w:val="0"/>
      </w:rPr>
      <w:t xml:space="preserve">Izdrukāts 29.07.2026. 23.56 - 2.0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25-TA-2047</w:t>
    </w:r>
    <w:r>
      <w:br/>
    </w:r>
    <w:r w:rsidR="00000000" w:rsidRPr="00000000" w:rsidDel="00000000">
      <w:rPr>
        <w:rtl w:val="0"/>
      </w:rPr>
      <w:t xml:space="preserve">Izdrukāts 29.07.2026. 23.56 - 2.0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noteikumu_projekts_25-TA-2047.docx</dc:title>
</cp:coreProperties>
</file>

<file path=docProps/custom.xml><?xml version="1.0" encoding="utf-8"?>
<Properties xmlns="http://schemas.openxmlformats.org/officeDocument/2006/custom-properties" xmlns:vt="http://schemas.openxmlformats.org/officeDocument/2006/docPropsVTypes"/>
</file>