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26-TA-767</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08.12.2025.</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142.2.9/2-21-14/25</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taisnīgu, caurspīdīgu un motivējošu atlīdzības sistēmu valsts pārvaldē</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Saeimas Budžeta un finanšu (nodokļu) komisijas 2025. gada 8. decembra vēstuli "Par taisnīgu, caurspīdīgu un motivējošu atlīdzības sistēmu valsts pārvaldē", kurā Budžeta un finanšu (nodokļu) komisija lūdz Ministru kabinetu līdz 2025. gada 1. aprīlim: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Izvērtēt spēkā esošo atlīdzības sistēmu, īpaši attiecībā uz vērtēšanas prēmijām, naudas balvām, piemaksu sistēmu un tās atšķirībām starp iestādēm.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Sagatavot informatīvo ziņojumu ar identificētajām problēmām, riskiem un iespējām, kā arī ar ietekmes analīzi par plānotajiem mainīgās atlīdzības daļas ierobežojumiem.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Iesniegt priekšlikumus normatīvo aktu grozījumiem, kas nodrošinātu: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 atlīdzības sistēmas taisnīgumu un samērīgumu,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b) vienlīdzīgākas motivācijas iespējas dažādās valsts pārvaldes iestādēs,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c) valsts pārvaldes spēju noturēt un motivēt kvalificētus darbiniekus.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informē, ka ir izvērtējis spēkā esošo atlīdzības sistēmu, īpaši attiecībā uz prēmijām atbilstoši ikgadējam darba izpildes novērtējumam, naudas balvām, piemaksu sistēmu un tās atšķirībām starp iestādēm un sagatavojis informatīvo ziņojumu "Par identificētajām problēmām, riskiem un iespējām, plānojot izmaiņas valsts un pašvaldību institūciju amatpersonu un darbinieku mainīgās atlīdzības daļas ierobežojumiem" (26-TA-767), kurā tostarp ir ietverta informācija par izdevumiem atlīdzībai, kā arī nodarbināto skaitu, kuriem tika piešķirta piemaksa par nozīmīgu ieguldījumu attiecīgās institūcijas stratēģisko mērķu sasniegšanā, naudas balva un prēmijas atbilstoši ikgadējam darba izpildes novērtējumam.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informatīvajā ziņojumā sniegti priekšlikumi pasākumiem, kas būtu veicami, lai sagatavotos likumprojekta "Par valsts budžetu 2027. gadam un budžeta ietvaru 2027., 2028., 2029. un 2030. gadam" izstrādei un pārdomātai lēmumu pieņemšanai, kas ir kritiski nepieciešama, lai novērstu iespējamās negatīvās sekas iestādēs, kurās mainīgās atlīdzības daļas ierobežojumi varētu ietekmēt cilvēkresursu ilgtspēju un funkciju izpildes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26-TA-767</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26-TA-767</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mk_vēstules_projekts_26-TA-767.docx</dc:title>
</cp:coreProperties>
</file>

<file path=docProps/custom.xml><?xml version="1.0" encoding="utf-8"?>
<Properties xmlns="http://schemas.openxmlformats.org/officeDocument/2006/custom-properties" xmlns:vt="http://schemas.openxmlformats.org/officeDocument/2006/docPropsVTypes"/>
</file>