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11. februārī (prot. Nr. 6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"Āriņi" un "Baltakmeņi" Ārlavas pagastā, Talsu novadā, daļu pirkšanu valsts reģionālā autoceļa P126 "Valdgale–Roja" pārbūves projekta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šādas nekustamo īpašumu daļas, kas nepieciešamas transporta infrastruktūras attīstībai – valsts reģionālā autoceļa P126 "Valdgale–Roja" posma 10,09.–26,86. km pārbūves projekta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nekustamā īpašuma "Āriņi" (nekustamā īpašuma kadastra numurs 8837 005 0036) daļu – zemes vienību (zemes vienības kadastra apzīmējums 8837 005 0131) 0,0132 ha platībā – Ārlavas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"Baltakmeņi" (nekustamā īpašuma kadastra Nr. 8837 001 0018) daļu – zemes vienību (zemes vienības kadastra apzīmējums 8837 001 0110) 0,01 ha platībā – Ārlavas pagastā, Talsu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daļu pirkšanu un īpašuma tiesību nostiprināšanu zemesgrāmatā, segt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25-TA-2981</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25-TA-2981</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rīkojuma_projekts_25-TA-2981.docx</dc:title>
</cp:coreProperties>
</file>

<file path=docProps/custom.xml><?xml version="1.0" encoding="utf-8"?>
<Properties xmlns="http://schemas.openxmlformats.org/officeDocument/2006/custom-properties" xmlns:vt="http://schemas.openxmlformats.org/officeDocument/2006/docPropsVTypes"/>
</file>