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47.0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47.0 versijā projekta "Deinstitucionalizācijas procesu atbalsta informācijas sistēma (2. kārta)" (turpmāk – projekts) aprakstu un paredzēt projekta izmaksas 1 035 419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Labklājības ministriju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Labklājības ministrija ir atbildīga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sākot ar 2024. gadu, noteikt projekta rezultātu uzturēšanas izmaksas ne vairāk kā 63 597 </w:t>
      </w:r>
      <w:r w:rsidR="00000000" w:rsidRPr="00000000" w:rsidDel="00000000">
        <w:rPr>
          <w:i w:val="1"/>
          <w:rtl w:val="0"/>
        </w:rPr>
        <w:t xml:space="preserve">euro</w:t>
      </w:r>
      <w:r w:rsidR="00000000" w:rsidRPr="00000000" w:rsidDel="00000000">
        <w:rPr>
          <w:rtl w:val="0"/>
        </w:rPr>
        <w:t xml:space="preserve"> gadā, pieprasot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47.0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22-TA-2735</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22-TA-2735</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rīkojuma_konsolidētā_versija_22-TA-2735.docx</dc:title>
</cp:coreProperties>
</file>

<file path=docProps/custom.xml><?xml version="1.0" encoding="utf-8"?>
<Properties xmlns="http://schemas.openxmlformats.org/officeDocument/2006/custom-properties" xmlns:vt="http://schemas.openxmlformats.org/officeDocument/2006/docPropsVTypes"/>
</file>