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augustā (prot. Nr. 32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26. jūlija noteikumos Nr. 488 "Kārtība,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26. jūlija noteikumos Nr. 488 "Kārtība, kādā nepilngadīgam patvēruma meklētājam nodrošina izglītības ieguves iespējas" (Latvijas Vēstnesis, 2016, 143. nr.; 2022, 77., 91., 129., 190. nr.; 2023, 44., 77., 169. nr.; 2024, 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Civiliedzīvotāju izglītības ieguve notiek šo noteikumu 21., 22., 23., 24., 25., 26., 27., 28., 29., 29.</w:t>
      </w:r>
      <w:r w:rsidR="00000000" w:rsidRPr="00000000" w:rsidDel="00000000">
        <w:rPr>
          <w:vertAlign w:val="superscript"/>
          <w:rtl w:val="0"/>
        </w:rPr>
        <w:t xml:space="preserve">1</w:t>
      </w:r>
      <w:r w:rsidR="00000000" w:rsidRPr="00000000" w:rsidDel="00000000">
        <w:rPr>
          <w:rtl w:val="0"/>
        </w:rPr>
        <w:t xml:space="preserve">, 30., 31., 32., 32.</w:t>
      </w:r>
      <w:r w:rsidR="00000000" w:rsidRPr="00000000" w:rsidDel="00000000">
        <w:rPr>
          <w:vertAlign w:val="superscript"/>
          <w:rtl w:val="0"/>
        </w:rPr>
        <w:t xml:space="preserve">6</w:t>
      </w:r>
      <w:r w:rsidR="00000000" w:rsidRPr="00000000" w:rsidDel="00000000">
        <w:rPr>
          <w:rtl w:val="0"/>
        </w:rPr>
        <w:t xml:space="preserve">, 33., 33.</w:t>
      </w:r>
      <w:r w:rsidR="00000000" w:rsidRPr="00000000" w:rsidDel="00000000">
        <w:rPr>
          <w:vertAlign w:val="superscript"/>
          <w:rtl w:val="0"/>
        </w:rPr>
        <w:t xml:space="preserve">3</w:t>
      </w:r>
      <w:r w:rsidR="00000000" w:rsidRPr="00000000" w:rsidDel="00000000">
        <w:rPr>
          <w:rtl w:val="0"/>
        </w:rPr>
        <w:t xml:space="preserve">, 34.</w:t>
      </w:r>
      <w:r w:rsidR="00000000" w:rsidRPr="00000000" w:rsidDel="00000000">
        <w:rPr>
          <w:vertAlign w:val="superscript"/>
          <w:rtl w:val="0"/>
        </w:rPr>
        <w:t xml:space="preserve">1</w:t>
      </w:r>
      <w:r w:rsidR="00000000" w:rsidRPr="00000000" w:rsidDel="00000000">
        <w:rPr>
          <w:rtl w:val="0"/>
        </w:rPr>
        <w:t xml:space="preserve">, 34.</w:t>
      </w:r>
      <w:r w:rsidR="00000000" w:rsidRPr="00000000" w:rsidDel="00000000">
        <w:rPr>
          <w:vertAlign w:val="superscript"/>
          <w:rtl w:val="0"/>
        </w:rPr>
        <w:t xml:space="preserve">2</w:t>
      </w:r>
      <w:r w:rsidR="00000000" w:rsidRPr="00000000" w:rsidDel="00000000">
        <w:rPr>
          <w:rtl w:val="0"/>
        </w:rPr>
        <w:t xml:space="preserve"> , 36.</w:t>
      </w:r>
      <w:r w:rsidR="00000000" w:rsidRPr="00000000" w:rsidDel="00000000">
        <w:rPr>
          <w:vertAlign w:val="superscript"/>
          <w:rtl w:val="0"/>
        </w:rPr>
        <w:t xml:space="preserve">1</w:t>
      </w:r>
      <w:r w:rsidR="00000000" w:rsidRPr="00000000" w:rsidDel="00000000">
        <w:rPr>
          <w:rtl w:val="0"/>
        </w:rPr>
        <w:t xml:space="preserve"> , 36.</w:t>
      </w:r>
      <w:r w:rsidR="00000000" w:rsidRPr="00000000" w:rsidDel="00000000">
        <w:rPr>
          <w:vertAlign w:val="superscript"/>
          <w:rtl w:val="0"/>
        </w:rPr>
        <w:t xml:space="preserve">2 </w:t>
      </w:r>
      <w:r w:rsidR="00000000" w:rsidRPr="00000000" w:rsidDel="00000000">
        <w:rPr>
          <w:rtl w:val="0"/>
        </w:rPr>
        <w:t xml:space="preserve">un 36.</w:t>
      </w:r>
      <w:r w:rsidR="00000000" w:rsidRPr="00000000" w:rsidDel="00000000">
        <w:rPr>
          <w:sz w:val="20"/>
          <w:vertAlign w:val="superscript"/>
          <w:rtl w:val="0"/>
        </w:rPr>
        <w:t xml:space="preserve">3</w:t>
      </w:r>
      <w:r w:rsidR="00000000" w:rsidRPr="00000000" w:rsidDel="00000000">
        <w:rPr>
          <w:vertAlign w:val="superscript"/>
          <w:rtl w:val="0"/>
        </w:rPr>
        <w:t xml:space="preserve"> </w:t>
      </w:r>
      <w:r w:rsidR="00000000" w:rsidRPr="00000000" w:rsidDel="00000000">
        <w:rPr>
          <w:rtl w:val="0"/>
        </w:rPr>
        <w:t xml:space="preserve">punktā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 Civiliedzīvotāju, kuri uz 2024. gada 1. septembri ir reģistrēti  Valsts izglītības informācijas sistēmā ar apakšstatusu "Ukrainas civiliedzīvotājs" un minētā reģistrācija pirmreizēji ir veikta no 2024. gada 1. janvāra līdz 2024.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9.1. apakšpunktā  minēto finansējumu piešķir 50 procentu apmērā laikposmam no 2024. gada 1. septembra  līdz 2024. gada 31. decembrim.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Šo noteikumu 33. punktā minēto finansējumu profesionālās vidējās izglītības programmas apguves nodrošināšanai civiliedzīvotājiem,  kuri  Valsts izglītības informācijas sistēmā ar apakšstatusu "Ukrainas civiliedzīvotājs"  reģistrēti uz 2024. gada 1. septembri,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Civiliedzīvotājam, kurš 2024./2025.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24-TA-1628</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24-TA-1628</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noteikumu_(grozījumu)_projekts_24-TA-1628.docx</dc:title>
</cp:coreProperties>
</file>

<file path=docProps/custom.xml><?xml version="1.0" encoding="utf-8"?>
<Properties xmlns="http://schemas.openxmlformats.org/officeDocument/2006/custom-properties" xmlns:vt="http://schemas.openxmlformats.org/officeDocument/2006/docPropsVTypes"/>
</file>