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februārī (prot. Nr. 6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 1.1. reformu un investīciju virziena "Emisiju samazināšana transporta sektorā" 1.1.1.r. reformas "Rīgas metropoles areāla transporta sistēmas zaļināšana" 1.1.1.3.i. investīciju "Pilnveidota veloceļu infrastruktūra" (turpmāk – investīcija):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saņēmējus, 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piešķiršanas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vienotas, nepārtrauktas maģistrālās veloceļu infrastruktūras izveide Rīgas metropoles areālā – Rīgas valstspilsētā un Pierīgā –, lai nodrošinātu "zaļās" mobilitātes pieejamību starp apdzīvotām vietām un radītu priekšnosacījumus arī vietēja līmeņa un apkaimju savienojumu attīstībai, dot pienesumu vides un dzīves kvalitātes uzlabošanā reģiona iedzīvotājiem.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teritorija ir Rīgas valstspilsēta un Pierīga.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Uzraudzības rādītājs – līdz 2024. gada 31. decembrim parakstīti iepirkuma līgumi par kopējo veloinfrastruktūru tādā garumā, kāds jāizbūvē no jauna vai jāpārbūvē saskaņā ar investīciju.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mērķa sasniedzamais kvantitatīvais rādītājs – līdz 2026. gada 31. maijam jaunizbūvētas vai atjaunotas veloinfrastruktūras garums Rīgas pilsētā un Pierīgā (daļa no Rīgas metropoles areāla) ir 60 km šādos prioritāros koridoros: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Rīga–Carnikava, tai skaitā Ādažu novadā, – vismaz 11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Rīga–Ulbroka,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3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novadā – vismaz 9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Rīga–Ķekava,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5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Ķekavas novadā – vismaz 16,5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Rīga–Babīte–Piņķi,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6,5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Mārupes novadā – vismaz 4,5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Rīga–Mārupe, tai skaitā Mārupes novadā, – vismaz 4,5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Investīcijai pieejamais kopējais Atveseļošanas fonda finansējums ir 34 514 008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pašvaldībai – 21 184 730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novada pašvaldībai – 3 296 748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Ķekavas novada pašvaldībai – 3 250 910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Mārupes novada pašvaldībai – 2 877 000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Ādažu novada pašvaldībai – 3 904 620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Satiksmes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sniedzējs saskaņā ar šiem noteikumiem ir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tiek sniegts granta veidā,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paredzētajā termiņā ir sasniegts projektā paredzētais kvantitatīvais rādītājs;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nedrīkst būt iekļautas darbības, kas ir uzsāktas pirms 2020. gada 1. februāra un kas ir pabeigtas līdz 2021. gada 13. jūlijam.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Atveseļošanas fonda atbalsta intensitāte ir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īstenošanā ir ierobežots pretendentu loks.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saņēmēji ir Rīgas valstspilsētas pašvaldība, kā arī Ropažu, Ķekavas, Mārupes un Ādažu novada pašvaldības. Katrs finansējuma saņēmējs iesniedz vienu projekta iesniegumu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rādītājam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pieejamajam Atveseļošanas fonda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īstenošanai nepieciešamās informācijas iesniegšanu nodrošina Kohēzijas politikas fondu vadības informācijas sistēmā (turpmāk – Vadības informācijas sistēma).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pēc šo noteikumu spēkā stāšanās 10 darbdienu laikā nosūta katram finansējuma saņēmējam uzaicinājumu iesniegt projekta iesniegumu. Uzaicinājumā norāda projekta iesnieguma iesniegšanas termiņu, kas nav īsāks par diviem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iesniedz projekta iesniegumu, ievērojot šo noteikumu </w:t>
      </w:r>
      <w:r w:rsidR="00000000" w:rsidRPr="00000000" w:rsidDel="00000000">
        <w:rPr>
          <w:rtl w:val="0"/>
        </w:rPr>
        <w:t xml:space="preserve">14. </w:t>
      </w:r>
      <w:r w:rsidR="00000000" w:rsidRPr="00000000" w:rsidDel="00000000">
        <w:rPr>
          <w:rtl w:val="0"/>
        </w:rPr>
        <w:t xml:space="preserve">un </w:t>
      </w:r>
      <w:r w:rsidR="00000000" w:rsidRPr="00000000" w:rsidDel="00000000">
        <w:rPr>
          <w:rtl w:val="0"/>
        </w:rPr>
        <w:t xml:space="preserve">15. </w:t>
      </w:r>
      <w:r w:rsidR="00000000" w:rsidRPr="00000000" w:rsidDel="00000000">
        <w:rPr>
          <w:rtl w:val="0"/>
        </w:rPr>
        <w:t xml:space="preserve">punkta</w:t>
      </w:r>
      <w:r w:rsidR="00000000" w:rsidRPr="00000000" w:rsidDel="00000000">
        <w:rPr>
          <w:rtl w:val="0"/>
        </w:rPr>
        <w:t xml:space="preserve"> nosacījumus, pievienojot projekta iesniegumam izmaksu un ieguvumu analīzi un apliecinājumu, ka uz finansējuma saņēmēju neattiecas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minētie izslēgšanas kritēriji un projekts atbilst šo noteikumu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pēc projekta iesnieguma saņemšanas organizē tā pārbaudi atbilstībai šajos noteikumos noteiktajiem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projekta iesniegumā iekļautā informācija neatbilst šo noteikumu nosacījumiem, ir pretrunīga vai nepilnīga, ministrija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finansējuma saņēmējs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pieprasījuma saņemšanas neizpilda nosacījumus vai neizpilda tos noteiktajā termiņā, ministrija atkārtoti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finansējuma saņēmējs atkārtoti neizpilda pieprasījumā minētos nosacījumus vai neizpilda tos noteiktajā termiņā, ministrija nevirza projektu aģentūrai vienošanās noslēgšanai ar finansējuma saņēmēju par investīcijas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var izvērtēt un atkārtoti uzaicināt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finansējuma saņēmēju iesniegt jaunu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Aģentūra, saņemot pieprasījumu no ministrijas, termiņā, kas nav īsāks par piecām darbdienām no ministrijas pieprasījuma saņemšanas, sniedz informāciju, kas nepieciešama finansējuma saņēmēja pārbaudei atbilstoši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izslēgšanas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iesniegums atbilst šajos noteikumos noteiktajiem nosacījumiem un uz finansējuma saņēmēju nav attiecināms neviens no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izslēgšanas kritērijiem, ministrija atbalsta projekta novirzīšanu aģentūrai vienošanās noslēgšanai par investīcijas projekta īstenošanu ar finansējuma saņēmēju (turpmāk – vienošanās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finansējuma saņēmējam nesniedz, ja tas ir kādā no </w:t>
      </w:r>
      <w:r w:rsidR="00000000" w:rsidRPr="00000000" w:rsidDel="00000000">
        <w:rPr>
          <w:rtl w:val="0"/>
        </w:rPr>
        <w:t xml:space="preserve">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Nr.541/2014/ES un atceļ Regulu (ES, </w:t>
      </w:r>
      <w:r w:rsidR="00000000" w:rsidRPr="00000000" w:rsidDel="00000000">
        <w:rPr>
          <w:i w:val="1"/>
          <w:rtl w:val="0"/>
        </w:rPr>
        <w:t xml:space="preserve">Euratom</w:t>
      </w:r>
      <w:r w:rsidR="00000000" w:rsidRPr="00000000" w:rsidDel="00000000">
        <w:rPr>
          <w:rtl w:val="0"/>
        </w:rPr>
        <w:t xml:space="preserve">) Nr. 966/2012</w:t>
      </w:r>
      <w:r w:rsidR="00000000" w:rsidRPr="00000000" w:rsidDel="00000000">
        <w:rPr>
          <w:rtl w:val="0"/>
        </w:rPr>
        <w:t xml:space="preserve">, 136. punktā </w:t>
      </w:r>
      <w:r w:rsidR="00000000" w:rsidRPr="00000000" w:rsidDel="00000000">
        <w:rPr>
          <w:rtl w:val="0"/>
        </w:rPr>
        <w:t xml:space="preserve">"</w:t>
      </w:r>
      <w:r w:rsidR="00000000" w:rsidRPr="00000000" w:rsidDel="00000000">
        <w:rPr>
          <w:rtl w:val="0"/>
        </w:rPr>
        <w:t xml:space="preserve">Izslēgšanas kritēriji un lēmumi par izslēgšanu</w:t>
      </w:r>
      <w:r w:rsidR="00000000" w:rsidRPr="00000000" w:rsidDel="00000000">
        <w:rPr>
          <w:rtl w:val="0"/>
        </w:rPr>
        <w:t xml:space="preserve">" noteiktajām izslēgšanas situācijām.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slēdz vienošanos par projekta īstenošanu ar finansējuma saņēmēju, ievērojot normatīvos aktus Atveseļošanas fonda plāna īstenošanas un uzraudzības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iesniegums neatbilst šo noteikumu nosacījumiem vai saskaņā ar šo noteikumu </w:t>
      </w:r>
      <w:r w:rsidR="00000000" w:rsidRPr="00000000" w:rsidDel="00000000">
        <w:rPr>
          <w:rtl w:val="0"/>
        </w:rPr>
        <w:t xml:space="preserve">24. </w:t>
      </w:r>
      <w:r w:rsidR="00000000" w:rsidRPr="00000000" w:rsidDel="00000000">
        <w:rPr>
          <w:rtl w:val="0"/>
        </w:rPr>
        <w:t xml:space="preserve">punktu</w:t>
      </w:r>
      <w:r w:rsidR="00000000" w:rsidRPr="00000000" w:rsidDel="00000000">
        <w:rPr>
          <w:rtl w:val="0"/>
        </w:rPr>
        <w:t xml:space="preserve"> atbalsts nav sniedzams, atbalsta piešķiršana tiek atteikta un ministrija par to informē finansējuma saņēmēju.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Investīcijas ietvaros atbalstāmās darbības ir investīciju veikšana reģionāla un pilsētas līmeņa maģistrālajā veloceļu infrastruktūrā, izbūvējot, pārbūvējot, atjaunojot, pilnveidojot un pielāgojot veloceļu infrastruktūru, lai sasaistītu Rīgas apkaimes un Pierīgas apdzīvotības centrus.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izmaksas un tehniski ekonomiskā pamatojuma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(ja tā izstrādāta līdz 2021. gada 10. augustam),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būves būvniecības, esošas būves pārbūves, atjaunošanas, pilnveidošanas un pielāgošanas izmaksas atbilstoši būvprojektam: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velosipēdistu ceļi, tilti, tostarp satiksmes pārvadi;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velosipēdistu ielas, attiecinot tikai to izmaksu daļu, kas atbilst atbalstam veloceļu infrastruktūrai;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velosipēdistu ceļu apgaismojuma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velosipēdistu un gājēju ceļu, tai skaitā noejas rampu, velonovietņu un pārējās ar veloceļu infrastruktūras izbūvi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izmaksas atbilstoši būvprojekta risinājumam, lai nodrošinātu velosipēdistu ceļu pilnvērtīgu integrēšanu piegulošajā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ceļu satiksmes organizācijas tehnisko līdzekļu (tai skaitā ceļa zīmes, luksofori, signālstabiņi, aizsargbarjeras, vertikālie un horizontālie ceļa apzīmējumi) uzstādīšanas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transportbūvju un ielu tīklam piegulošo inženiertīklu būvniecības izmaksas ne vairāk kā 10 % apmērā no projekta attiecināmo izmaksu kopsummas;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atsevišķos gadījumos izmaksu apmēru var palielināt vēl līdz 3 % no projekta attiecināmo izmaksu kopsummas, to saskaņojot ar ministriju un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apdrošināšanas un normatīvajos aktos būvniecības jomā noteiktās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kas saistītas ar obligātajām Atveseļošanas fonda publicitātes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neatkarīga revidenta pakalpojuma izmaksas, lai apliecinātu projekta izmaksu pamatotību un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nekustamā īpašuma iegādes izmaksas ne vairāk kā 10 % apmērā no attiecināmo izmaksu kopsummas, ja nekustamā īpašuma iegāde ir nepieciešama un tieši saistīta ar projektā paredzēto darbību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īstenošanā atbalstāms zaļais publiskais iepirkums (vides prasību integrācija preču, pakalpojumu un būvdarbu iepirkumos) un sociāli atbildīgs iepirkums, iepirkumus veicot saskaņā ar normatīvajiem aktiem publisko iepirkumu jomā un organizējot atklātu, pārredzamu, nediskriminējošu un konkurenci neierobežojošu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īstenošanā atbalstāmas konsultācijas ar personu ar invaliditāti intereses pārstāvošo nevalstisko organizāciju ekspertiem, minētās konsultācijas iekļaujot projektēšanas vai būvniecības līgumu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ietvaros radušās izmaksas ir attiecināmas finansēšanai no Atveseļošanas fonda finansējuma,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atbilst šajos noteikumos minētajam mērķim un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atbilst šajos noteikumos noteiktajām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nepārsniedz šo noteikumu </w:t>
      </w:r>
      <w:r w:rsidR="00000000" w:rsidRPr="00000000" w:rsidDel="00000000">
        <w:rPr>
          <w:rtl w:val="0"/>
        </w:rPr>
        <w:t xml:space="preserve">28.8.</w:t>
      </w:r>
      <w:r w:rsidR="00000000" w:rsidRPr="00000000" w:rsidDel="00000000">
        <w:rPr>
          <w:rtl w:val="0"/>
        </w:rPr>
        <w:t xml:space="preserve"> un </w:t>
      </w:r>
      <w:r w:rsidR="00000000" w:rsidRPr="00000000" w:rsidDel="00000000">
        <w:rPr>
          <w:rtl w:val="0"/>
        </w:rPr>
        <w:t xml:space="preserve">28.13. </w:t>
      </w:r>
      <w:r w:rsidR="00000000" w:rsidRPr="00000000" w:rsidDel="00000000">
        <w:rPr>
          <w:rtl w:val="0"/>
        </w:rPr>
        <w:t xml:space="preserve">apakšpunktā</w:t>
      </w:r>
      <w:r w:rsidR="00000000" w:rsidRPr="00000000" w:rsidDel="00000000">
        <w:rPr>
          <w:rtl w:val="0"/>
        </w:rPr>
        <w:t xml:space="preserve"> minētos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nepārsniedz pieejamo Atveseļošanas fonda finansējumu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nav radušās agrāk par 2020. gada 1. februāri un vēlāk par termiņu, ko nosaka vienošanās par projekta īstenošanu, bet ne vēlāk kā 2026. gada 31. maijā;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pieejami visi izmaksas pamatojošie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sasniegts investīcijas mērķa kvantitatīvais rādītājs.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Pievienotās vērtības nodoklis (turpmāk – PVN) nav attiecināms finansēšanai no Atveseļošanas fonda finansējuma. Finansējuma saņēmējs PVN izmaksas iekļauj projekta ietvaros kā projekta sastāvdaļu.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PVN izmaksas sedzamas no finansējuma saņēmēja līdzekļiem vai aizņēmuma Valsts kasē atbilstoši normatīvajiem aktiem par valsts budžetu un finanšu vadību. Ja PVN izmaksas sedzamas no aizņēmuma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katram starpposma maksājuma pieprasījumam un noslēguma maksājuma pieprasījumam pievieno apliecinājumu, ka minētās izmaksas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atsevišķu projekta izmaksu, tai skaitā PVN izmaksu, uzskaiti un nodalīšanu. Ja sākotnēji plānotais PVN apjoms ir lielāks, nekā faktiski nepieciešamais, finansējuma saņēmējs nodrošina pārmaksātā PVN atgriešanu Valsts kasē.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Projektu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Investīcijas ietvaros finansējuma saņēmējam ir pienākums nodrošināt, ka darbības ir vērstas uz </w:t>
      </w:r>
      <w:r w:rsidR="00000000" w:rsidRPr="00000000" w:rsidDel="00000000">
        <w:rPr>
          <w:rtl w:val="0"/>
        </w:rPr>
        <w:t xml:space="preserve">Eiropas Parlamenta un Padomes 2021. gada 12. februāra Regulas Nr. 2021/241, ar ko izveido Atveseļošanas un noturības mehānismu</w:t>
      </w:r>
      <w:r w:rsidR="00000000" w:rsidRPr="00000000" w:rsidDel="00000000">
        <w:rPr>
          <w:rtl w:val="0"/>
        </w:rPr>
        <w:t xml:space="preserve"> (turpmāk – Regula Nr. 2021/241), 5. panta 2. punktā minētā principa "nenodari būtisku kaitējumu" vides mērķu sasniegšanu,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atbalstāma ir maģistrālās veloceļu infrastruktūras izveide Rīgā un Pierīgā, veicinot nemotorizēto mobilitāti;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infrastruktūras savienojamība – maģistrālie veloceļi pēctecīgi turpinās un savieno Rīgu ar tās apkārtnes teritorijām, kā arī savienojas ar mobilitātes punktiem un papildina multimodālo savienojumu sniegtās iespējas;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katrā maršrutā ir nodrošināta sasaiste starp pilsētas un reģionālās nozīmes veloceļiem;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tiešā veidā palīdz sasniegt klimatneitralitātes mērķus;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 paredz, ka ceļu būves veicēji nodrošina vismaz 70 % (pēc svara) bīstamo būvniecības un nojaukšanas atkritumu, kas radušies būvlaukumā no veloceļa infrastruktūras būvniecības, sagatavošanu atkārtotai izmantošanai, pārstrādei un citiem materiālu atgūšanas veidiem. Prasība neattiecas uz </w:t>
      </w:r>
      <w:r w:rsidR="00000000" w:rsidRPr="00000000" w:rsidDel="00000000">
        <w:rPr>
          <w:rtl w:val="0"/>
        </w:rPr>
        <w:t xml:space="preserve">Ministru kabineta 2011.  gada 19. aprīļa noteikumu Nr. 302 "Noteikumi par atkritumu klasifikatoru un īpašībām, kuras padara atkritumus bīstamus"</w:t>
      </w:r>
      <w:r w:rsidR="00000000" w:rsidRPr="00000000" w:rsidDel="00000000">
        <w:rPr>
          <w:rtl w:val="0"/>
        </w:rPr>
        <w:t xml:space="preserve"> pielikumā ''Atkritumu klasifikators'' minēto klasi 170504 (Augsne un akmeņi, kas neatbilst 170503 klasei);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atkritumu rašanās būvniecības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noteikti arī ar būvniecību, uzturēšanu un ekspluatāciju saistītie riski.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būvprojektēšanas un būvdarbu iepirkumos izpildītājs ievēro šo noteikumu </w:t>
      </w:r>
      <w:r w:rsidR="00000000" w:rsidRPr="00000000" w:rsidDel="00000000">
        <w:rPr>
          <w:rtl w:val="0"/>
        </w:rPr>
        <w:t xml:space="preserve">34.5.</w:t>
      </w:r>
      <w:r w:rsidR="00000000" w:rsidRPr="00000000" w:rsidDel="00000000">
        <w:rPr>
          <w:rtl w:val="0"/>
        </w:rPr>
        <w:t xml:space="preserve">, </w:t>
      </w:r>
      <w:r w:rsidR="00000000" w:rsidRPr="00000000" w:rsidDel="00000000">
        <w:rPr>
          <w:rtl w:val="0"/>
        </w:rPr>
        <w:t xml:space="preserve">34.6.</w:t>
      </w:r>
      <w:r w:rsidR="00000000" w:rsidRPr="00000000" w:rsidDel="00000000">
        <w:rPr>
          <w:rtl w:val="0"/>
        </w:rPr>
        <w:t xml:space="preserve"> un </w:t>
      </w:r>
      <w:r w:rsidR="00000000" w:rsidRPr="00000000" w:rsidDel="00000000">
        <w:rPr>
          <w:rtl w:val="0"/>
        </w:rPr>
        <w:t xml:space="preserve">34.7. </w:t>
      </w:r>
      <w:r w:rsidR="00000000" w:rsidRPr="00000000" w:rsidDel="00000000">
        <w:rPr>
          <w:rtl w:val="0"/>
        </w:rPr>
        <w:t xml:space="preserve">apakšpunktā</w:t>
      </w:r>
      <w:r w:rsidR="00000000" w:rsidRPr="00000000" w:rsidDel="00000000">
        <w:rPr>
          <w:rtl w:val="0"/>
        </w:rPr>
        <w:t xml:space="preserve">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Dokuments, kas apliecina projektā paredzētā kvantitatīvā rādītāja sasniegšanu, ir akts par būves vai tās daļas pieņemšanu ekspluatācijā, ko izsniegusi institūcija, kura pilda būvvaldes funkcijas saskaņā ar normatīvajiem aktiem autoceļu un ielu būvnoteikumu jomā. Ja konkrētajā gadījumā institūcija, kura pilda būvvaldes funkcijas, šādu aktu neizsniedz, jo to neparedz normatīvie akti, dokuments, kas apliecina projektā paredzētā rādītāja sasniegšanu, ir finansējuma saņēmēja apliecinājums par jaunas izbūvētas un pārbūvētas veloceļu infrastruktūras nodošanu ekspluatācijā, tai skaitā par atjaunoto, pilnveidoto un pielāgoto infrastruktūru.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par projekta īstenošanu noslēgšanas iesniedz Vadības informācijas sistēmā plānoto avansa un maksājumu pieprasījumu iesniegšanas grafiku un iepirkumu plānu. Finansējuma saņēmējs projekta īstenošanas laikā pastāvīgi aktualizē iepirkuma plānu, ja tajā notikušas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nodrošina projekta mērķu sasniegšanu, datu ticamību un izsekojamību, kā arī novērš korupcijas, krāpšanas un interešu konflikta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kompetencei divas reizes gadā ievada Vadības informācijas sistēmā informāciju Atveseļošanas fonda plāna īstenošanas progresa pusgada ziņojuma (saskaņā ar </w:t>
      </w:r>
      <w:r w:rsidR="00000000" w:rsidRPr="00000000" w:rsidDel="00000000">
        <w:rPr>
          <w:rtl w:val="0"/>
        </w:rPr>
        <w:t xml:space="preserve">Regulas Nr. 2021/241</w:t>
      </w:r>
      <w:r w:rsidR="00000000" w:rsidRPr="00000000" w:rsidDel="00000000">
        <w:rPr>
          <w:rtl w:val="0"/>
        </w:rPr>
        <w:t xml:space="preserve"> 27. pantu) sagatavošanai. Finansējuma saņēmējs informācijā norāda projekta progresa kopsavilkumu, tai skaitā informāciju par iepirkumu statusu, lai nodrošinātu šo noteikumu 5. punktā minētā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piekļuvi ar projekta īstenošanu saistītajai informācijai un spēj to uzrādīt Atveseļošanas fonda plāna īstenošanā un uzraudzībā iesaistītajām institūcijām, kā arī </w:t>
      </w:r>
      <w:r w:rsidR="00000000" w:rsidRPr="00000000" w:rsidDel="00000000">
        <w:rPr>
          <w:rtl w:val="0"/>
        </w:rPr>
        <w:t xml:space="preserve">Eiropas Komisijas un Latvijas Republikas Atveseļošanas un noturības mehānisma finansēšanas nolīgumā</w:t>
      </w:r>
      <w:r w:rsidR="00000000" w:rsidRPr="00000000" w:rsidDel="00000000">
        <w:rPr>
          <w:rtl w:val="0"/>
        </w:rPr>
        <w:t xml:space="preserve"> (turpmāk – Finansēšanas nolīgums)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w:t>
      </w:r>
      <w:r w:rsidR="00000000" w:rsidRPr="00000000" w:rsidDel="00000000">
        <w:rPr>
          <w:rtl w:val="0"/>
        </w:rPr>
        <w:t xml:space="preserve">Finansēšanas nolīguma</w:t>
      </w:r>
      <w:r w:rsidR="00000000" w:rsidRPr="00000000" w:rsidDel="00000000">
        <w:rPr>
          <w:rtl w:val="0"/>
        </w:rPr>
        <w:t xml:space="preserve">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vienošanos par projekta īstenošanu atmaksā Atveseļošanas fonda plāna īstenošanas ietvaros piešķirto finansējumu, ja tas nav izlietots atbilstoši vienošanās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projekta izmaksas ir pieaugušas, sedz projekta sadārdzinājumu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īsteno projektu saskaņā ar vienošanos par projekta īstenošanu, bet ne ilgāk kā līdz 2026. gada 31. maijam;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noslēguma maksājuma dokumentāciju iesniedz aģentūrā saskaņā ar vienošanos par projekta īstenošanu, bet ne vēlāk kā līdz 2026. gada 30. jūnijam;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projekta dokumentācija ir pieejama piecus gadus pēc noslēguma maksājuma veikšanas dalībvalstij;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datus Vadības informācijas sistēmā par projekta ietvaros sasniegto kvantitatīvā rādītāja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uzkrāj datus Vadības informācijas sistēmā par uzraudzības rādītāja sasniegto vērtību.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 investīcijas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ministrijas pieprasījuma sniedz informāciju, kas nepieciešama finansējuma saņēmēja pārbaudei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izslēgšanas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vienošanās par projekta īstenošanu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īstenošanai maksimāli pieejamo Atveseļošanas fonda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termiņu;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sasniedzamo kvantitatīvo rādītāju un uzraudzības rādītāju;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pienākumus ievērot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noteiktos projekta īstenošanas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tiesības saņemt avansa maksājumus, starpposma maksājumus un noslēguma maksājumu, ievērojot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w:t>
      </w:r>
      <w:r w:rsidR="00000000" w:rsidRPr="00000000" w:rsidDel="00000000">
        <w:rPr>
          <w:rtl w:val="0"/>
        </w:rPr>
        <w:t xml:space="preserve">noteiktos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aģentūras tiesības veikt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izlases veidā pārbauda, vai nav konstatējamas pazīmes, kas liecina par pieļautu interešu konflikta, korupcijas, krāpšanas vai dubultā finansējuma situāciju;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projektu ieviešanas progresa un sasniegtos rādītāju pārbaudes, tai skaitā datu ticamības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maksājumu pieprasījumu dokumentācijas pārbaudes un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 projektiem nepieciešamo valsts budžeta finansējumu, pamatojoties uz finansējuma saņēmēju sniegto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projektu noslēguma dokumentācijas pārbaudi un noslēguma maksājumu līdz 2026. gada 31.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ievada informāciju Vadības informācijas sistēmā, kas nepieciešama, lai uzraudzītu projektu ieviešanas progresu un nodrošinātu datu pieejamību un to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finansējuma saņēmēja PVN izmaksas sedzamas no aizņēmuma Valsts kasē, pēc maksājumu pieprasījumu saņemšanas pārbauda (ja attiecināms), vai tam pievienots apliecinājums, ka finansējuma saņēmējs nav atguvis PVN no valsts budžeta priekšnodokļa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tostarp netiek ievēroti projektā noteiktie termiņi vai ir iestājušies citi apstākļi, kas negatīvi ietekmē vai var ietekmēt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Finansējuma plānošana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Aģentūra, pamatojoties uz finansējuma saņēmēja rakstisku avansa pieprasījumu, izmaksā finansējuma saņēmējam avansu līdz 30 % no projekta kopējām attiecināmajām izmaksām,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iesniedzot avansa pieprasījumu, finansējuma saņēmējs apliecina, ka projektā plānotajā termiņā, bet ne vēlāk kā līdz 2024. gada 31. decembrim tiks sasniegts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minētais uzraudzības rādītājs (ja attiecināms) un projekta mērķis tiks sasniegts saskaņā ar vienošanos par projekta īstenošanu paredzētajā 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avansus. Viena avansa apmērs nepārsniedz 30 % no kopējā projekta finansējuma, un tas ir jāapgūst sešu mēnešu laikā saimnieciskā gada ietvaros. Nākamo avansa pieprasījumu var iesniegt aģentūrā pēc tam, kad iepriekšējais avanss ir apgūts pilnā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avansu pieprasījumu iesniegšanas kārtību, tai skaitā biežumu, kā arī izmaksāšanas kārtību atrunā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Aģentūra, pamatojoties uz finansējuma saņēmēja starpposma maksājuma pieprasījumu, veic finansējuma saņēmējam maksājumu par faktiski veiktajiem izdevumiem projekta attiecināmajās izmaksās,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saņēmējam ir izmaksāts avanss, starpposma maksājuma pieprasījumu var iesniegt, ja avanss ir apgūts pilnā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starpposma maksājuma pieprasījumam pievieno šo noteikumu </w:t>
      </w:r>
      <w:r w:rsidR="00000000" w:rsidRPr="00000000" w:rsidDel="00000000">
        <w:rPr>
          <w:rtl w:val="0"/>
        </w:rPr>
        <w:t xml:space="preserve">28.8. </w:t>
      </w:r>
      <w:r w:rsidR="00000000" w:rsidRPr="00000000" w:rsidDel="00000000">
        <w:rPr>
          <w:rtl w:val="0"/>
        </w:rPr>
        <w:t xml:space="preserve">apakšpunktā</w:t>
      </w:r>
      <w:r w:rsidR="00000000" w:rsidRPr="00000000" w:rsidDel="00000000">
        <w:rPr>
          <w:rtl w:val="0"/>
        </w:rPr>
        <w:t xml:space="preserve"> minētos dokumentus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avansa un starpposma maksājumu summa nepārsniedz 90 %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līdz 2024. gada 31. decembrim nav sasniegts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minētais uzraudzības rādītājs, aģentūra izvērtē nepieciešamību pieprasīt līdz šim saņemto maksājumu atmaksu;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starpposma maksājumu pieprasījumu iesniegšanas kārtību, tai skaitā biežumu, kā arī izmaksāšanas kārtību, atrunā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Aģentūra, pamatojoties uz finansējuma saņēmēja noslēguma maksājuma pieprasījumu, izmaksā finansējuma saņēmējam finansējumu par faktiski veiktajām projekta attiecināmajām izmaksām, ja ir sasniegts projekta mērķis. Finansējuma saņēmējs noslēguma maksājuma pieprasījuma dokumentācijai pievieno apliecinājumu par jaunas izbūvētas un pārbūvētas veloceļu infrastruktūras nodošanu ekspluatācijā un iekšējā auditora vai neatkarīga revidenta atzinumu par projekta izmaksu atbilstību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minētajām attiecināmajām izmaksām un mērķa sasniegšanu.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22-TA-1823</w:t>
    </w:r>
    <w:r>
      <w:br/>
    </w:r>
    <w:r w:rsidR="00000000" w:rsidRPr="00000000" w:rsidDel="00000000">
      <w:rPr>
        <w:rtl w:val="0"/>
      </w:rPr>
      <w:t xml:space="preserve">Izdrukāts 29.07.2026. 21.27 - 1.0.VK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22-TA-1823</w:t>
    </w:r>
    <w:r>
      <w:br/>
    </w:r>
    <w:r w:rsidR="00000000" w:rsidRPr="00000000" w:rsidDel="00000000">
      <w:rPr>
        <w:rtl w:val="0"/>
      </w:rPr>
      <w:t xml:space="preserve">Izdrukāts 29.07.2026. 21.27 - 1.0.VK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noteikumu_projekts_22-TA-1823.docx</dc:title>
</cp:coreProperties>
</file>

<file path=docProps/custom.xml><?xml version="1.0" encoding="utf-8"?>
<Properties xmlns="http://schemas.openxmlformats.org/officeDocument/2006/custom-properties" xmlns:vt="http://schemas.openxmlformats.org/officeDocument/2006/docPropsVTypes"/>
</file>