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mazo, vidējo komersantu izveidi un attīstību, īpaši apstrādes rūpniecībā un RIS3 prioritārajās nozarēs" 3.1.1.3. pasākumu "Atbalsts mazo, vidējo komersantu finansējuma piesaistei kapitāla tirgos"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civiltiesiskā līguma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atbalstu komercdarbībai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 mazie un vidējie komersanti, kas atbilst Komisijas 2014. gada 17. jūnija Regulas (ES) Nr. 651/2014, ar ko noteiktas atbalsta kategorijas atzīst par saderīgām ar iekšējo tirgu, piemērojot Līguma 107. un 108. pantu (turpmāk – Komisijas regula Nr. 651/2014), I pielikuma 2. pantā noteiktajiem kritērijiem un ir Latvijas Republikas komercreģistrā reģistrētas kapitālsabiedrības;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vieta – regulētais vai alternatīvais finanšu instrumentu tirgus, kura organizētājs un ar finanšu instrumentu publisko apgrozību saistīto pakalpojumu sniedzējs ir kapitālsabiedrība, kas darbojas atbilstoši Finanšu instrumentu tirgus likumam un saskaņā ar Finanšu un kapitāla tirgus komisijas izsniegtu licenci.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komersantu attīstībai nepieciešamā finansējuma piesaisti kapitāla tirgos, tādējādi paaugstinot komersantu starptautisko konkurētspēju, kā arī attīstīt kapitāla tirgu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Eiropas Reģionālās attīstības fonda finansējums ir 1 000 000 </w:t>
      </w:r>
      <w:r w:rsidR="00000000" w:rsidRPr="00000000" w:rsidDel="00000000">
        <w:rPr>
          <w:i w:val="1"/>
          <w:rtl w:val="0"/>
        </w:rPr>
        <w:t xml:space="preserve">euro</w:t>
      </w:r>
      <w:r w:rsidR="00000000" w:rsidRPr="00000000" w:rsidDel="00000000">
        <w:rPr>
          <w:rtl w:val="0"/>
        </w:rPr>
        <w:t xml:space="preserve">, privātais līdzfinansējums – vismaz 1 000 000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finansējuma indikatīvais sadalījums: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emisiju atbalstam – 800 000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emisiju atbalstam – 200 000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2023.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18;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kas ir granti, –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pasākums sniedz ieguldījumu rezultāta rādītāja – mazo un vidējo komersantu (MVK) produktivitāte uz vienu nodarbināto (2010. gada salīdzināmajās cenās) – 16 757 </w:t>
      </w:r>
      <w:r w:rsidR="00000000" w:rsidRPr="00000000" w:rsidDel="00000000">
        <w:rPr>
          <w:i w:val="1"/>
          <w:rtl w:val="0"/>
        </w:rPr>
        <w:t xml:space="preserve">euro</w:t>
      </w:r>
      <w:r w:rsidR="00000000" w:rsidRPr="00000000" w:rsidDel="00000000">
        <w:rPr>
          <w:rtl w:val="0"/>
        </w:rPr>
        <w:t xml:space="preserve"> – sasniegšanā.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atlases īstenošanas veids ir atklāta projektu iesniegumu atlase, kuru sadarbības iestāde organizē kārtās, izsludinot paziņojumu par projektu iesniegumu iesniegšanu. Ja projektu iesniegumu iesniegšanas kārtā netiek apgūts viss attiecīgajā kārtā pieejamais finansējums vai tiek piešķirts papildu finansējums, sadarbības iestāde organizē papildu atlases kārtas par pieejamo finansējumu. Atlases kārtas tiek īstenotas līdz brīdim, kamēr ir pieejams brīvs finansējums, bet ne ilgāk kā līdz 2022. gada 30. aprīlim.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Atbildīgās iestādes funkcijas pasākuma ietvaros pilda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vieta –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īsteno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Atbalsts pasākuma ietvaros tiek sniegts granta veidā saskaņā ar Komisijas regulas Nr. 651/2014 18. pantu vai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ir Latvijas Republikas komercreģistrā reģistrēts komersants šo noteikumu 2.1. apakšpunkta izpratnē.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kopā ar projekta iesniegumu sadarbības iestādē iesniedz biznesa plānu saskaņā ar atlases nolikumā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nevar pretendēt uz finansējumu, ja 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Eiropas Savienības struktūrfondu un Kohēzijas fonda 2014.–2020. gada plānošanas perioda vadības likuma 23. pantā minētajiem projekta iesniedzēju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darbojas nozarēs, kas noteiktas Eiropas Parlamenta un Padomes 2013. gada 17. decembra Regulas (ES) Nr. 1301/2013 par Eiropas Reģionālās attīstības fondu un īpašiem noteikumiem attiecībā uz mērķi "Investīcijas izaugsmei un nodarbinātībai" un ar ko atceļ Regulu (EK) Nr. 1080/2006, 3. panta 3.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nodarbojas ar ieroču un munīcijas ražošanu vai tirdzniecību vai tā saimnieciskā darbība ir saistīta ar azartspēlēm;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darbojas primārajā lauksaimniecības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pēdējo 24 mēnešu laikā ir veicis kapitāla piesaisti, emitējot parāda vērtspapīrus par kopējo summu, kas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iesniegšanas brīdī sadarbības iestādei tirdzniecības vietā nav emitējis visas spēkā esošās emisijas prospektā norādītās akcijas vai obligācijas.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finansējuma saņēmēja sekmīgas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iekļaušana tirdzniecības vietā, ja tiek piesaistīti vismaz 500 000 </w:t>
      </w:r>
      <w:r w:rsidR="00000000" w:rsidRPr="00000000" w:rsidDel="00000000">
        <w:rPr>
          <w:i w:val="1"/>
          <w:rtl w:val="0"/>
        </w:rPr>
        <w:t xml:space="preserve">euro</w:t>
      </w:r>
      <w:r w:rsidR="00000000" w:rsidRPr="00000000" w:rsidDel="00000000">
        <w:rPr>
          <w:rtl w:val="0"/>
        </w:rPr>
        <w:t xml:space="preserve"> un akciju iekļaušana tirdzniecības vietā notiek divu gadu laikā no civiltiesiskā līguma par projekta īstenošanu (turpmāk – civiltiesisks līgums) noslēgšanas, vienlaikus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Projekta iesniedzējs var secīgi iesniegt otru projekta iesniegumu par akciju iekļaušanu tirdzniecības vietā tikai tad, ja tas pasākuma ietvaros tirdzniecības vietā ir sekmīgi iekļāvis parāda vērtspapīrus;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iekļaušana tirdzniecības vietā, ja tā notiek divu gadu laikā no civiltiesiskā līguma noslēgšanas, vienlaikus ievērojot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bet ne ilgāk kā līdz 2023. gada 31. decembrim –, attiecināmas ir šādas tiešās sagatavošanās izmaksas iekļaušanai tirdzniecības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 konsultantu sniegtās konsultācijas pakalpojumu izmaksas finansējuma saņēmēja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darbībām: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kapitāla piesaistīšanas, emisijas organizētāja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emisijas prospekta (vai reģistrācijas dokumenta, parāda vērtspapīru apraksta un kopsavilkuma, ja emisijas prospekts sastāv no atsevišķiem dokumentiem), prospekta (vai reģistrācijas dokumenta, parāda vērtspapīru apraksta un kopsavilkuma, ja prospekts sastāv no atsevišķiem dokumentiem), piedāvājuma dokumenta vai uzņēmuma apraksta sagatavošanas, apstiprināšanas un publicēšanas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(akcijas) emisijas prospekta, pamatprospekta, piedāvājuma galīgo noteikumu, uzņēmuma apraksta vai parāda vērtspapīru apraksta sagatavošanas, apstiprināšanas un publicēšanas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padziļinātā izpēte un ar to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vietas sertificētā konsultanta piesaistes un pakalpojumu izmaksas līdz akciju un parāda vērtspapīru iekļaušanai tirdzniecības vietās;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juridiskās, finanšu, nodokļu, auditoru, sertificētu konsultantu konsultāciju izmaksas saistībā ar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kas atbilst Komisijas regulas Nr. </w:t>
      </w:r>
      <w:r w:rsidR="00000000" w:rsidRPr="00000000" w:rsidDel="00000000">
        <w:rPr>
          <w:rtl w:val="0"/>
        </w:rPr>
        <w:t xml:space="preserve">651/2014</w:t>
      </w:r>
      <w:r w:rsidR="00000000" w:rsidRPr="00000000" w:rsidDel="00000000">
        <w:rPr>
          <w:rtl w:val="0"/>
        </w:rPr>
        <w:t xml:space="preserve"> 18. panta 4.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17. punktā minētās izmaksas attiecināmas saskaņā ar atbalstu, kas sniegts atbilstoši Komisijas regulai Nr. 1407/2013 vai Komisijas regulai Nr. 651/2014. Vienā projekta iesniegumā var pieteikties atbalstam vienā no šajā punktā minētajiem atbalsta veidiem.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iesniegumā norādītās izmaksas, kas nav norādītas kā attiecināmās izmaksas šo noteikumu 17. punktā, un izmaksas, kas radušās sadārdzinājuma dēļ, kā arī nav samērīgas un atbilstošas tirgus cenām, ir neattiecināmas, un finansējuma saņēmējs apņemas tās segt no paša rīcībā esošajiem līdzekļiem, kas nav saistīti ar publisko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izmaksas šo noteikumu 17. punktā minētajām izmaksu pozīcijām ir neattiecināmas izmaksas.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pasākuma darbības,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publicitātes pasākumus, kas noteikti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pusgadā aktuālās informācijas ievietošanu savā tīmekļvietnē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īstenošanu saistītā finansējuma, tai skaitā privātā līdzfinansējuma,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iestādei informāciju par to, vai finansējuma saņēmējs darbojas ekoinovāciju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Iepirkumus, kas nepieciešami projekta īstenošanai, finansējuma saņēmējs veic saskaņā ar normatīvajiem aktiem par iepirkuma procedūru un tās piemērošanas kārtību pasūtītāja finansētiem projektiem, nodrošinot pārredzamu, nediskriminējošu, beznosacījumu un konkurenci nodrošinošu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iestādei ir tiesības vienpusēji atkāpties no noslēgtā civiltiesiskā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civiltiesisko līgumu, tai skaitā netiek ievēroti projektā noteiktie termiņi, vai ir iestājušies citi apstākļi, kas negatīvi ietekmē vai var ietekmēt šo noteikumu 3. punktā minētā mērķa un specifiskā atbalsta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kas civiltiesisko līgumu par projekta īstenošanu noslēdzis līdz 2022. gada 31. janvārim, neuzsāk projektā paredzētās darbības gada laikā no civiltiesiskā līguma noslēgšanas;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kas civiltiesisko līgumu par projekta īstenošanu noslēdzis pēc 2022. gada 31. janvāra, neuzsāk projektā paredzētās darbības četru mēnešu laikā no civiltiesiskā līguma noslēgšanas;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civiltiesiskajā līgumā paredzētajos gadījumos.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Maksimāli pieļaujamā publiskā finansējuma atbalsta intensitāte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emisijas gadījumā nepārsniedz 50 %, bet ne vairāk kā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emisijas gadījumā nepārsniedz 50 %, bet ne vairāk kā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Sadarbības iestāde lēmumu par atbalsta piešķiršanu pieņem līdz 2022. gada 31. jūlijam.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 nodrošina informācijas glabāšanu un pieejamību 10 gadus, skaitot no dienas, kad šīs atbalsta programmas ietvaros piešķirts pēdējais atbalsts, bet finansējuma saņēmējs nodrošina informācijas glabāšanu un pieejamību 10 gadus, skaitot no atbalsta piešķiršanas dienas, atbilstoši Komisijas regulas Nr. </w:t>
      </w:r>
      <w:r w:rsidR="00000000" w:rsidRPr="00000000" w:rsidDel="00000000">
        <w:rPr>
          <w:rtl w:val="0"/>
        </w:rPr>
        <w:t xml:space="preserve">651/2014</w:t>
      </w:r>
      <w:r w:rsidR="00000000" w:rsidRPr="00000000" w:rsidDel="00000000">
        <w:rPr>
          <w:rtl w:val="0"/>
        </w:rPr>
        <w:t xml:space="preserve"> 12. panta 1. punktam vai Komisijas regulas Nr. </w:t>
      </w:r>
      <w:r w:rsidR="00000000" w:rsidRPr="00000000" w:rsidDel="00000000">
        <w:rPr>
          <w:rtl w:val="0"/>
        </w:rPr>
        <w:t xml:space="preserve">1407/2013</w:t>
      </w:r>
      <w:r w:rsidR="00000000" w:rsidRPr="00000000" w:rsidDel="00000000">
        <w:rPr>
          <w:rtl w:val="0"/>
        </w:rPr>
        <w:t xml:space="preserve"> 6. panta 4.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651/2014</w:t>
      </w:r>
      <w:r w:rsidR="00000000" w:rsidRPr="00000000" w:rsidDel="00000000">
        <w:rPr>
          <w:rtl w:val="0"/>
        </w:rPr>
        <w:t xml:space="preserve"> nosacījumi, finansējuma saņēmējam ir pienākums atmaksāt sadarbības iestādei visu saņemto nelikumīgo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1407/2013</w:t>
      </w:r>
      <w:r w:rsidR="00000000" w:rsidRPr="00000000" w:rsidDel="00000000">
        <w:rPr>
          <w:rtl w:val="0"/>
        </w:rPr>
        <w:t xml:space="preserve"> nosacījumi, finansējuma saņēmējam ir pienākums atmaksāt sadarbības iestādei visu saņemto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kas sniegts šo noteikumu ietvaros saskaņā ar Komisijas regulu Nr. 651/2014 un Komisijas regulu Nr. 1407/2013, nevar apvienot ar atbalstu par vienām un tām pašām attiecināmajām izmaksām, kas sniegts citā valsts atbalsta programmā vai individuālajā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Atbalsta saņēmējs, iesniedzot iesniegumu, sniedz informāciju par plānoto un piešķirto atbalstu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komercdarbības atbalsta saņemšanu saistītie nosacījumi, ja komercdarbības atbalsts tiek piešķirts saskaņā ar Komisijas regulu Nr. 1407/2013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atbalstu, pamatojoties uz Komisijas regulu Nr. 1407/2013, projekta iesniedzējam piešķir, ja ir ievēroti nosacījumi, kas izriet no Komisijas regulas Nr. 1407/2013 prasībām, un normatīvie akti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atbalsts tiek piešķirts saskaņā ar Komisijas regulu Nr. 1407/2013, tad izmaksas ir attiecināmas no 2019. gada 2. maija.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pirms </w:t>
      </w:r>
      <w:r w:rsidR="00000000" w:rsidRPr="00000000" w:rsidDel="00000000">
        <w:rPr>
          <w:i w:val="1"/>
          <w:rtl w:val="0"/>
        </w:rPr>
        <w:t xml:space="preserve">de minimis</w:t>
      </w:r>
      <w:r w:rsidR="00000000" w:rsidRPr="00000000" w:rsidDel="00000000">
        <w:rPr>
          <w:rtl w:val="0"/>
        </w:rPr>
        <w:t xml:space="preserve"> atbalsta piešķiršanas pārbauda, vai atbalsta apmērs kopā ar attiecīgajā fiskālajā gadā un iepriekšējos divos fiskālajos gados komersantam piešķirto </w:t>
      </w:r>
      <w:r w:rsidR="00000000" w:rsidRPr="00000000" w:rsidDel="00000000">
        <w:rPr>
          <w:i w:val="1"/>
          <w:rtl w:val="0"/>
        </w:rPr>
        <w:t xml:space="preserve">de minimis</w:t>
      </w:r>
      <w:r w:rsidR="00000000" w:rsidRPr="00000000" w:rsidDel="00000000">
        <w:rPr>
          <w:rtl w:val="0"/>
        </w:rPr>
        <w:t xml:space="preserve"> atbalstu nepārsniedz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viena vienota uzņēmuma līmenī, un </w:t>
      </w:r>
      <w:r w:rsidR="00000000" w:rsidRPr="00000000" w:rsidDel="00000000">
        <w:rPr>
          <w:i w:val="1"/>
          <w:rtl w:val="0"/>
        </w:rPr>
        <w:t xml:space="preserve">de minimis</w:t>
      </w:r>
      <w:r w:rsidR="00000000" w:rsidRPr="00000000" w:rsidDel="00000000">
        <w:rPr>
          <w:rtl w:val="0"/>
        </w:rPr>
        <w:t xml:space="preserve"> atbalstu nepiešķir, ja maksimālais </w:t>
      </w:r>
      <w:r w:rsidR="00000000" w:rsidRPr="00000000" w:rsidDel="00000000">
        <w:rPr>
          <w:i w:val="1"/>
          <w:rtl w:val="0"/>
        </w:rPr>
        <w:t xml:space="preserve">de minimis</w:t>
      </w:r>
      <w:r w:rsidR="00000000" w:rsidRPr="00000000" w:rsidDel="00000000">
        <w:rPr>
          <w:rtl w:val="0"/>
        </w:rPr>
        <w:t xml:space="preserve"> atbalsta apmērs tiktu pārsniegts.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Viens vienots uzņēmums ir tāds uzņēmums, kas atbilst Komisijas regulas Nr. 1407/2013 2. panta 2. punktā noteiktajai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atbalstu nepiešķir, ja komersants veic darbību kādā no Komisijas regulas Nr. 1407/2013 1. panta 1. punktā noteiktajām nozarēm un darbībām.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Ar komercdarbības atbalsta saņemšanu saistītie nosacījumi, ja komercdarbības atbalsts tiek piešķirts saskaņā ar Komisijas regulu Nr. 651/2014</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Valsts atbalstu, pamatojoties uz Komisijas regulas Nr. 651/2014 18. pantu, projekta iesniedzējam piešķir, ja ir ievēroti Komisijas regulas Nr. 651/2014 1. panta 5. punktā minētie nosacījumi, kas paredz, ka atbalsta pasākums neietver Eiropas Savienības tiesību pārkāpumus.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projekta iesniedzējam piešķir atbalstu, ja tas ir izpildījis Komisijas regulas Nr. 651/2014 6. pantā noteiktās stimulējošās ietekmes prasības, tas ir, nav uzsācis darbus pirms projekta iesnieguma iesniegšanas sadarbības iestādē atbilstoši Komisijas regulas Nr. 651/2014 2. panta 23.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iesniedzējs nevar pretendēt uz finansējumu, ja uz to attiecas kāds no Komisijas regulas Nr. 651/2014 1. panta 2. un 3. punktā un 4. punkta "a", "b" un "c" apakšpunktā noteiktajiem kritērijiem, tai skaitā projekta iesniedzējs projekta iesnieguma iesniegšanas un atbalsta piešķiršanas brīdī ir grūtībās nonācis uzņēmums atbilstoši Komisijas regulas Nr. 651/2014 2. panta 18. punkta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nodrošina Komisijas regulas Nr. 651/2014 9. panta 1. un 4. punktā noteiktos publicitātes pasākumus.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21-TA-961</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21-TA-961</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noteikumu_konsolidētā_versija_21-TA-961.docx</dc:title>
</cp:coreProperties>
</file>

<file path=docProps/custom.xml><?xml version="1.0" encoding="utf-8"?>
<Properties xmlns="http://schemas.openxmlformats.org/officeDocument/2006/custom-properties" xmlns:vt="http://schemas.openxmlformats.org/officeDocument/2006/docPropsVTypes"/>
</file>