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[26-TA-1067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[26-TA-1067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sabiedrību ar ierobežotu atbildību "Priekules slimnīca" un Līvānu novada domes pašvaldības sabiedrību ar ierobežotu atbildību "Līvānu slimnīca".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4 792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11 697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11 747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4 792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12 127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6 682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19 683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19 221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5 873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2 937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4 471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12 632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14 757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6 994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psihiatrijā un narkoloģijā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koordinatora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Traheostomētu pacientu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kabinets ilgstošas sociālās aprūpes un sociālās rehabilitācijas institūcijā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4 846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153. punkts),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māsas psihiatrijā un narkoloģijā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"Nacionālais psihiskās veselības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4. pielikumā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4. pielikumā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4. pielikumā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iestādes, kas saņem fiksēto maksājumu par dežūrārsta kabinetu,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iestādes, kas saņem šajā pielikumā noteikto maksājumu par diabētiskās pēdas aprūpes kabinetu vai par hronisku obstruktīvu plaušu slimību kabinetu, diabētiskās pēdas aprūpes kabinetu vai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153.2. apakšpunktā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uztura speciālists</w:t>
      </w:r>
      <w:r w:rsidR="00000000" w:rsidRPr="00000000" w:rsidDel="00000000">
        <w:rPr>
          <w:b w:val="1"/>
          <w:rtl w:val="0"/>
        </w:rPr>
        <w:t xml:space="preserve"> </w:t>
      </w:r>
      <w:r w:rsidR="00000000" w:rsidRPr="00000000" w:rsidDel="00000000">
        <w:rPr>
          <w:rtl w:val="0"/>
        </w:rPr>
        <w:t xml:space="preserve">un dietologs.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šā pielikuma 2.23. apakšpunktā minētais maksājums. Ja kabinetā nodarbināto funkcionālo speciālistu, psihologu, psihoterapeitu, narkologu vai psihiatru slodžu skaits ir mazāks par vienu slodzi, tad šā pielikuma 2.23. 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Valsts sabiedrības ar ierobežotu atbildību "Bērnu klīniskā universitātes slimnīca" paliatīvās aprūpes kabineta uzskaitē var atrasties bērni, kā arī personas līdz 24 gadu vecumam, ja tās kabineta uzskaitē iekļautas līdz 18 gadu vecumam, un šīm personām ir tiesības saņemt tādus veselības aprūpes pakalpojumus kā kabineta uzskaitē esošajiem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noteikumu_(grozījumu)_projekts_p2_26-TA-1067.docx</dc:title>
</cp:coreProperties>
</file>

<file path=docProps/custom.xml><?xml version="1.0" encoding="utf-8"?>
<Properties xmlns="http://schemas.openxmlformats.org/officeDocument/2006/custom-properties" xmlns:vt="http://schemas.openxmlformats.org/officeDocument/2006/docPropsVTypes"/>
</file>